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1B1CC" w14:textId="77777777" w:rsidR="00291E3A" w:rsidRPr="00291E3A" w:rsidRDefault="00291E3A" w:rsidP="00291E3A">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bookmarkStart w:id="0" w:name="_GoBack"/>
      <w:bookmarkEnd w:id="0"/>
      <w:r w:rsidRPr="00291E3A">
        <w:rPr>
          <w:rFonts w:ascii="Times New Roman" w:eastAsia="Times New Roman" w:hAnsi="Times New Roman" w:cs="Times New Roman"/>
          <w:b/>
          <w:bCs/>
          <w:kern w:val="36"/>
          <w:sz w:val="48"/>
          <w:szCs w:val="48"/>
          <w:lang w:eastAsia="pl-PL"/>
        </w:rPr>
        <w:t>Pieniądz wczoraj i dziś, czyli co warto wiedzieć o pieniądzu</w:t>
      </w:r>
    </w:p>
    <w:p w14:paraId="5E5EC47C"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Historia wymiany towarowej sięga początków dziejów człowieka. Jednak dopiero postęp techniczny i wprowadzenie podziału pracy spowodowały pojawienie się handlu i pieniędzy. Jak zatem powstał pieniądz i jakie są jego cechy? Po co nam dziś pieniądze; czy naprawdę bez nich nie można żyć?</w:t>
      </w:r>
    </w:p>
    <w:p w14:paraId="74A4C008" w14:textId="77777777" w:rsidR="00291E3A" w:rsidRPr="00291E3A" w:rsidRDefault="00291E3A" w:rsidP="00291E3A">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291E3A">
        <w:rPr>
          <w:rFonts w:ascii="Times New Roman" w:eastAsia="Times New Roman" w:hAnsi="Times New Roman" w:cs="Times New Roman"/>
          <w:b/>
          <w:bCs/>
          <w:sz w:val="27"/>
          <w:szCs w:val="27"/>
          <w:lang w:eastAsia="pl-PL"/>
        </w:rPr>
        <w:t>Historia pieniądza</w:t>
      </w:r>
    </w:p>
    <w:p w14:paraId="6F67DDD4"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Pieniądz powstał jako towar, który ułatwiał wymianę handlową. Zanim przybrał obecną formę, jego postacie zależały od stopnia rozwoju technologicznego i gospodarczego poszczególnych społeczeństw. Z tego względu wyróżnia się:</w:t>
      </w:r>
    </w:p>
    <w:p w14:paraId="7EB5EFA5" w14:textId="77777777" w:rsidR="00291E3A" w:rsidRPr="00291E3A" w:rsidRDefault="00291E3A" w:rsidP="00291E3A">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barter</w:t>
      </w:r>
      <w:r w:rsidRPr="00291E3A">
        <w:rPr>
          <w:rFonts w:ascii="Times New Roman" w:eastAsia="Times New Roman" w:hAnsi="Times New Roman" w:cs="Times New Roman"/>
          <w:sz w:val="24"/>
          <w:szCs w:val="24"/>
          <w:lang w:eastAsia="pl-PL"/>
        </w:rPr>
        <w:t xml:space="preserve"> – wymiana towaru na towar (obecnie: obrót bezgotówkowy);</w:t>
      </w:r>
    </w:p>
    <w:p w14:paraId="24B780DC" w14:textId="77777777" w:rsidR="00291E3A" w:rsidRPr="00291E3A" w:rsidRDefault="00291E3A" w:rsidP="00291E3A">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pieniądz towarowy</w:t>
      </w:r>
      <w:r w:rsidRPr="00291E3A">
        <w:rPr>
          <w:rFonts w:ascii="Times New Roman" w:eastAsia="Times New Roman" w:hAnsi="Times New Roman" w:cs="Times New Roman"/>
          <w:sz w:val="24"/>
          <w:szCs w:val="24"/>
          <w:lang w:eastAsia="pl-PL"/>
        </w:rPr>
        <w:t xml:space="preserve"> – wybrane towary pełniące funkcję środka płatniczego (np. bydło w regionie śródziemnomorskim, konie na stepach Euroazji, zboże na Bliskim Wschodzie, herbata w Azji Południowo-Wschodniej, ziarna kakaowca w Ameryce Środkowej);</w:t>
      </w:r>
    </w:p>
    <w:p w14:paraId="2ED72B66" w14:textId="77777777" w:rsidR="00291E3A" w:rsidRPr="00291E3A" w:rsidRDefault="00291E3A" w:rsidP="00291E3A">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płacidła</w:t>
      </w:r>
      <w:r w:rsidRPr="00291E3A">
        <w:rPr>
          <w:rFonts w:ascii="Times New Roman" w:eastAsia="Times New Roman" w:hAnsi="Times New Roman" w:cs="Times New Roman"/>
          <w:sz w:val="24"/>
          <w:szCs w:val="24"/>
          <w:lang w:eastAsia="pl-PL"/>
        </w:rPr>
        <w:t xml:space="preserve"> – przedmioty, które jedynie symbolizowały wartość i pozwalały ludziom oszczędzać lub kupić dowolny towar (np. muszle w Chinach, Indiach, Japonii, Afryce, Azji i Oceanii, kamienne toporki w Nowej Gwinei i Europie Środkowej, krążki marmuru na Nowych Hybrydach, agaty na Borneo czy nefryty w Chinach);</w:t>
      </w:r>
    </w:p>
    <w:p w14:paraId="0FA8B9BB" w14:textId="77777777" w:rsidR="00291E3A" w:rsidRPr="00291E3A" w:rsidRDefault="00291E3A" w:rsidP="00291E3A">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pieniądz metalowy</w:t>
      </w:r>
      <w:r w:rsidRPr="00291E3A">
        <w:rPr>
          <w:rFonts w:ascii="Times New Roman" w:eastAsia="Times New Roman" w:hAnsi="Times New Roman" w:cs="Times New Roman"/>
          <w:sz w:val="24"/>
          <w:szCs w:val="24"/>
          <w:lang w:eastAsia="pl-PL"/>
        </w:rPr>
        <w:t xml:space="preserve"> – kawałki metali nieszlachetnych: żelaza, brązu czy miedzi, a później szlachetnych: srebra i złota, które były odważane (pieniądz ważony) i formowane w sztabki (pieniądz odliczany);</w:t>
      </w:r>
    </w:p>
    <w:p w14:paraId="56E9EDF5" w14:textId="77777777" w:rsidR="00291E3A" w:rsidRPr="00291E3A" w:rsidRDefault="00291E3A" w:rsidP="00291E3A">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pieniądz bity, kruszcowy</w:t>
      </w:r>
      <w:r w:rsidRPr="00291E3A">
        <w:rPr>
          <w:rFonts w:ascii="Times New Roman" w:eastAsia="Times New Roman" w:hAnsi="Times New Roman" w:cs="Times New Roman"/>
          <w:sz w:val="24"/>
          <w:szCs w:val="24"/>
          <w:lang w:eastAsia="pl-PL"/>
        </w:rPr>
        <w:t xml:space="preserve"> – </w:t>
      </w:r>
      <w:r w:rsidRPr="00291E3A">
        <w:rPr>
          <w:rFonts w:ascii="Times New Roman" w:eastAsia="Times New Roman" w:hAnsi="Times New Roman" w:cs="Times New Roman"/>
          <w:b/>
          <w:bCs/>
          <w:sz w:val="24"/>
          <w:szCs w:val="24"/>
          <w:lang w:eastAsia="pl-PL"/>
        </w:rPr>
        <w:t>moneta</w:t>
      </w:r>
      <w:r w:rsidRPr="00291E3A">
        <w:rPr>
          <w:rFonts w:ascii="Times New Roman" w:eastAsia="Times New Roman" w:hAnsi="Times New Roman" w:cs="Times New Roman"/>
          <w:sz w:val="24"/>
          <w:szCs w:val="24"/>
          <w:lang w:eastAsia="pl-PL"/>
        </w:rPr>
        <w:t xml:space="preserve"> – okrągły przedmiot, na którym umieszczano specjalne znaki, potwierdzające wartość jego stopu;</w:t>
      </w:r>
    </w:p>
    <w:p w14:paraId="675AC497"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noProof/>
          <w:sz w:val="24"/>
          <w:szCs w:val="24"/>
          <w:lang w:eastAsia="pl-PL"/>
        </w:rPr>
        <w:drawing>
          <wp:inline distT="0" distB="0" distL="0" distR="0" wp14:anchorId="672A77DB" wp14:editId="72AFA7A9">
            <wp:extent cx="6091200" cy="2574000"/>
            <wp:effectExtent l="0" t="0" r="508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1200" cy="2574000"/>
                    </a:xfrm>
                    <a:prstGeom prst="rect">
                      <a:avLst/>
                    </a:prstGeom>
                    <a:noFill/>
                    <a:ln>
                      <a:noFill/>
                    </a:ln>
                  </pic:spPr>
                </pic:pic>
              </a:graphicData>
            </a:graphic>
          </wp:inline>
        </w:drawing>
      </w:r>
    </w:p>
    <w:p w14:paraId="2034C6F9"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Rycina 3.1. Polski grosz z 1539 r. [Źródło: archiwum wcn.pl.]</w:t>
      </w:r>
    </w:p>
    <w:p w14:paraId="23C20A70" w14:textId="77777777" w:rsidR="00291E3A" w:rsidRPr="00291E3A" w:rsidRDefault="00291E3A" w:rsidP="00291E3A">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lastRenderedPageBreak/>
        <w:t>pieniądz papierowy</w:t>
      </w:r>
      <w:r w:rsidRPr="00291E3A">
        <w:rPr>
          <w:rFonts w:ascii="Times New Roman" w:eastAsia="Times New Roman" w:hAnsi="Times New Roman" w:cs="Times New Roman"/>
          <w:sz w:val="24"/>
          <w:szCs w:val="24"/>
          <w:lang w:eastAsia="pl-PL"/>
        </w:rPr>
        <w:t xml:space="preserve"> – </w:t>
      </w:r>
      <w:r w:rsidRPr="00291E3A">
        <w:rPr>
          <w:rFonts w:ascii="Times New Roman" w:eastAsia="Times New Roman" w:hAnsi="Times New Roman" w:cs="Times New Roman"/>
          <w:b/>
          <w:bCs/>
          <w:sz w:val="24"/>
          <w:szCs w:val="24"/>
          <w:lang w:eastAsia="pl-PL"/>
        </w:rPr>
        <w:t>banknot</w:t>
      </w:r>
      <w:r w:rsidRPr="00291E3A">
        <w:rPr>
          <w:rFonts w:ascii="Times New Roman" w:eastAsia="Times New Roman" w:hAnsi="Times New Roman" w:cs="Times New Roman"/>
          <w:sz w:val="24"/>
          <w:szCs w:val="24"/>
          <w:lang w:eastAsia="pl-PL"/>
        </w:rPr>
        <w:t xml:space="preserve"> – przedmiot wywodzący się z kwitu potwierdzającego wartość monet zdeponowanych u bankiera;</w:t>
      </w:r>
    </w:p>
    <w:p w14:paraId="66172534" w14:textId="77777777" w:rsidR="00291E3A" w:rsidRPr="00291E3A" w:rsidRDefault="00291E3A" w:rsidP="00291E3A">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pieniądz wymienialny</w:t>
      </w:r>
      <w:r w:rsidRPr="00291E3A">
        <w:rPr>
          <w:rFonts w:ascii="Times New Roman" w:eastAsia="Times New Roman" w:hAnsi="Times New Roman" w:cs="Times New Roman"/>
          <w:sz w:val="24"/>
          <w:szCs w:val="24"/>
          <w:lang w:eastAsia="pl-PL"/>
        </w:rPr>
        <w:t xml:space="preserve"> – pieniądz, który można było wymienić na kruszec (obecnie: pieniądz wymienialny na inne waluty, oficjalnie uznany);</w:t>
      </w:r>
    </w:p>
    <w:p w14:paraId="20FB36C6" w14:textId="77777777" w:rsidR="00291E3A" w:rsidRPr="00291E3A" w:rsidRDefault="00291E3A" w:rsidP="00291E3A">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pieniądz bezgotówkowy i elektroniczny</w:t>
      </w:r>
      <w:r w:rsidRPr="00291E3A">
        <w:rPr>
          <w:rFonts w:ascii="Times New Roman" w:eastAsia="Times New Roman" w:hAnsi="Times New Roman" w:cs="Times New Roman"/>
          <w:sz w:val="24"/>
          <w:szCs w:val="24"/>
          <w:lang w:eastAsia="pl-PL"/>
        </w:rPr>
        <w:t xml:space="preserve"> – czeki i przelewy bankowe oraz karty magnetyczne (karty kredytowe i obciążeniowe są połączone z kontem, z którego jest pokrywane zadłużenie z karty; karty debetowe to karty, z których wypłaty są ograniczone do stanu rachunku).</w:t>
      </w:r>
    </w:p>
    <w:p w14:paraId="60711F92"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noProof/>
          <w:sz w:val="24"/>
          <w:szCs w:val="24"/>
          <w:lang w:eastAsia="pl-PL"/>
        </w:rPr>
        <w:drawing>
          <wp:inline distT="0" distB="0" distL="0" distR="0" wp14:anchorId="6ACDE919" wp14:editId="57BFF65B">
            <wp:extent cx="6098400" cy="29772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8400" cy="2977200"/>
                    </a:xfrm>
                    <a:prstGeom prst="rect">
                      <a:avLst/>
                    </a:prstGeom>
                    <a:noFill/>
                    <a:ln>
                      <a:noFill/>
                    </a:ln>
                  </pic:spPr>
                </pic:pic>
              </a:graphicData>
            </a:graphic>
          </wp:inline>
        </w:drawing>
      </w:r>
    </w:p>
    <w:p w14:paraId="6ED5157A"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Rycina 3.2. Liczba wydanych kart płatniczych w Polsce w latach 1998–2012.</w:t>
      </w:r>
    </w:p>
    <w:p w14:paraId="7FA5E9AB"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noProof/>
          <w:sz w:val="24"/>
          <w:szCs w:val="24"/>
          <w:lang w:eastAsia="pl-PL"/>
        </w:rPr>
        <w:lastRenderedPageBreak/>
        <w:drawing>
          <wp:inline distT="0" distB="0" distL="0" distR="0" wp14:anchorId="1F418F6E" wp14:editId="7A5AD38D">
            <wp:extent cx="6094800" cy="4402800"/>
            <wp:effectExtent l="0" t="0" r="127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4800" cy="4402800"/>
                    </a:xfrm>
                    <a:prstGeom prst="rect">
                      <a:avLst/>
                    </a:prstGeom>
                    <a:noFill/>
                    <a:ln>
                      <a:noFill/>
                    </a:ln>
                  </pic:spPr>
                </pic:pic>
              </a:graphicData>
            </a:graphic>
          </wp:inline>
        </w:drawing>
      </w:r>
    </w:p>
    <w:p w14:paraId="1B024B2C"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Rycina 3.3. Historia pieniądza.</w:t>
      </w:r>
      <w:r w:rsidRPr="00291E3A">
        <w:rPr>
          <w:rFonts w:ascii="Times New Roman" w:eastAsia="Times New Roman" w:hAnsi="Times New Roman" w:cs="Times New Roman"/>
          <w:sz w:val="24"/>
          <w:szCs w:val="24"/>
          <w:lang w:eastAsia="pl-PL"/>
        </w:rPr>
        <w:br/>
        <w:t xml:space="preserve">[Źródło: opracowanie na podstawie: </w:t>
      </w:r>
      <w:hyperlink r:id="rId8" w:history="1">
        <w:r w:rsidRPr="00291E3A">
          <w:rPr>
            <w:rFonts w:ascii="Times New Roman" w:eastAsia="Times New Roman" w:hAnsi="Times New Roman" w:cs="Times New Roman"/>
            <w:color w:val="0000FF"/>
            <w:sz w:val="24"/>
            <w:szCs w:val="24"/>
            <w:u w:val="single"/>
            <w:lang w:eastAsia="pl-PL"/>
          </w:rPr>
          <w:t>http://www.edu.payu.pl/sites/edu/files/photo/Articles/payU_historia.jpg</w:t>
        </w:r>
      </w:hyperlink>
      <w:r w:rsidRPr="00291E3A">
        <w:rPr>
          <w:rFonts w:ascii="Times New Roman" w:eastAsia="Times New Roman" w:hAnsi="Times New Roman" w:cs="Times New Roman"/>
          <w:sz w:val="24"/>
          <w:szCs w:val="24"/>
          <w:lang w:eastAsia="pl-PL"/>
        </w:rPr>
        <w:t>]</w:t>
      </w:r>
    </w:p>
    <w:p w14:paraId="420A88D0" w14:textId="77777777" w:rsidR="00291E3A" w:rsidRPr="00291E3A" w:rsidRDefault="00291E3A" w:rsidP="00291E3A">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291E3A">
        <w:rPr>
          <w:rFonts w:ascii="Times New Roman" w:eastAsia="Times New Roman" w:hAnsi="Times New Roman" w:cs="Times New Roman"/>
          <w:b/>
          <w:bCs/>
          <w:sz w:val="27"/>
          <w:szCs w:val="27"/>
          <w:lang w:eastAsia="pl-PL"/>
        </w:rPr>
        <w:t>Cechy i funkcje pieniądza</w:t>
      </w:r>
    </w:p>
    <w:p w14:paraId="292F6563"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Jak wynika z przedstawionej historii,</w:t>
      </w:r>
      <w:r w:rsidRPr="00291E3A">
        <w:rPr>
          <w:rFonts w:ascii="Times New Roman" w:eastAsia="Times New Roman" w:hAnsi="Times New Roman" w:cs="Times New Roman"/>
          <w:b/>
          <w:bCs/>
          <w:sz w:val="24"/>
          <w:szCs w:val="24"/>
          <w:lang w:eastAsia="pl-PL"/>
        </w:rPr>
        <w:t xml:space="preserve"> pieniądz</w:t>
      </w:r>
      <w:r w:rsidRPr="00291E3A">
        <w:rPr>
          <w:rFonts w:ascii="Times New Roman" w:eastAsia="Times New Roman" w:hAnsi="Times New Roman" w:cs="Times New Roman"/>
          <w:sz w:val="24"/>
          <w:szCs w:val="24"/>
          <w:lang w:eastAsia="pl-PL"/>
        </w:rPr>
        <w:t xml:space="preserve"> to powszechnie stosowany i akceptowany (z mocy prawa lub zwyczaju) równoważnik towarów i usług, trwale wyrażający ich wartość, bezpośrednio na nie wymienialny. Pieniądz powinien mieć następujące cechy:</w:t>
      </w:r>
    </w:p>
    <w:p w14:paraId="1A5147EE" w14:textId="77777777" w:rsidR="00291E3A" w:rsidRPr="00291E3A" w:rsidRDefault="00291E3A" w:rsidP="00291E3A">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trwałość</w:t>
      </w:r>
      <w:r w:rsidRPr="00291E3A">
        <w:rPr>
          <w:rFonts w:ascii="Times New Roman" w:eastAsia="Times New Roman" w:hAnsi="Times New Roman" w:cs="Times New Roman"/>
          <w:sz w:val="24"/>
          <w:szCs w:val="24"/>
          <w:lang w:eastAsia="pl-PL"/>
        </w:rPr>
        <w:t xml:space="preserve"> – pieniądz nie powinien ulegać łatwemu zniszczeniu,</w:t>
      </w:r>
    </w:p>
    <w:p w14:paraId="3B413B72" w14:textId="77777777" w:rsidR="00291E3A" w:rsidRPr="00291E3A" w:rsidRDefault="00291E3A" w:rsidP="00291E3A">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poręczność</w:t>
      </w:r>
      <w:r w:rsidRPr="00291E3A">
        <w:rPr>
          <w:rFonts w:ascii="Times New Roman" w:eastAsia="Times New Roman" w:hAnsi="Times New Roman" w:cs="Times New Roman"/>
          <w:sz w:val="24"/>
          <w:szCs w:val="24"/>
          <w:lang w:eastAsia="pl-PL"/>
        </w:rPr>
        <w:t xml:space="preserve"> – pieniądz powinien umożliwiać przenoszenie znacznych jego wartości,</w:t>
      </w:r>
    </w:p>
    <w:p w14:paraId="509250EA" w14:textId="77777777" w:rsidR="00291E3A" w:rsidRPr="00291E3A" w:rsidRDefault="00291E3A" w:rsidP="00291E3A">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podzielność</w:t>
      </w:r>
      <w:r w:rsidRPr="00291E3A">
        <w:rPr>
          <w:rFonts w:ascii="Times New Roman" w:eastAsia="Times New Roman" w:hAnsi="Times New Roman" w:cs="Times New Roman"/>
          <w:sz w:val="24"/>
          <w:szCs w:val="24"/>
          <w:lang w:eastAsia="pl-PL"/>
        </w:rPr>
        <w:t xml:space="preserve"> – pieniądz musi być podzielny na mniejsze jednostki bez straty na wartości,</w:t>
      </w:r>
    </w:p>
    <w:p w14:paraId="18370C4F" w14:textId="77777777" w:rsidR="00291E3A" w:rsidRPr="00291E3A" w:rsidRDefault="00291E3A" w:rsidP="00291E3A">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jednorodność</w:t>
      </w:r>
      <w:r w:rsidRPr="00291E3A">
        <w:rPr>
          <w:rFonts w:ascii="Times New Roman" w:eastAsia="Times New Roman" w:hAnsi="Times New Roman" w:cs="Times New Roman"/>
          <w:sz w:val="24"/>
          <w:szCs w:val="24"/>
          <w:lang w:eastAsia="pl-PL"/>
        </w:rPr>
        <w:t xml:space="preserve"> – pieniądze powinny być do siebie podobne,</w:t>
      </w:r>
    </w:p>
    <w:p w14:paraId="12DFEA60" w14:textId="77777777" w:rsidR="00291E3A" w:rsidRPr="00291E3A" w:rsidRDefault="00291E3A" w:rsidP="00291E3A">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rozpoznawalność</w:t>
      </w:r>
      <w:r w:rsidRPr="00291E3A">
        <w:rPr>
          <w:rFonts w:ascii="Times New Roman" w:eastAsia="Times New Roman" w:hAnsi="Times New Roman" w:cs="Times New Roman"/>
          <w:sz w:val="24"/>
          <w:szCs w:val="24"/>
          <w:lang w:eastAsia="pl-PL"/>
        </w:rPr>
        <w:t xml:space="preserve"> – pieniądz powinien być rozpoznawalny,</w:t>
      </w:r>
    </w:p>
    <w:p w14:paraId="332F16C7" w14:textId="77777777" w:rsidR="00291E3A" w:rsidRPr="00291E3A" w:rsidRDefault="00291E3A" w:rsidP="00291E3A">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ograniczona podaż</w:t>
      </w:r>
      <w:r w:rsidRPr="00291E3A">
        <w:rPr>
          <w:rFonts w:ascii="Times New Roman" w:eastAsia="Times New Roman" w:hAnsi="Times New Roman" w:cs="Times New Roman"/>
          <w:sz w:val="24"/>
          <w:szCs w:val="24"/>
          <w:lang w:eastAsia="pl-PL"/>
        </w:rPr>
        <w:t xml:space="preserve"> – pieniądz powinien mieć ograniczoną dostępność (rzadkość w sensie ekonomicznym),</w:t>
      </w:r>
    </w:p>
    <w:p w14:paraId="3089A916" w14:textId="77777777" w:rsidR="00291E3A" w:rsidRPr="00291E3A" w:rsidRDefault="00291E3A" w:rsidP="00291E3A">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oryginalność</w:t>
      </w:r>
      <w:r w:rsidRPr="00291E3A">
        <w:rPr>
          <w:rFonts w:ascii="Times New Roman" w:eastAsia="Times New Roman" w:hAnsi="Times New Roman" w:cs="Times New Roman"/>
          <w:sz w:val="24"/>
          <w:szCs w:val="24"/>
          <w:lang w:eastAsia="pl-PL"/>
        </w:rPr>
        <w:t xml:space="preserve"> – pieniądz powinien być trudny do podrobienia.</w:t>
      </w:r>
    </w:p>
    <w:p w14:paraId="2C286DD6"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Pieniądz spełnia funkcje: miernika wartości, środka wymiany, środka płatniczego, środka tezauryzacji i pieniądza światowego.</w:t>
      </w:r>
    </w:p>
    <w:p w14:paraId="260A711A"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lastRenderedPageBreak/>
        <w:t xml:space="preserve">Funkcja </w:t>
      </w:r>
      <w:r w:rsidRPr="00291E3A">
        <w:rPr>
          <w:rFonts w:ascii="Times New Roman" w:eastAsia="Times New Roman" w:hAnsi="Times New Roman" w:cs="Times New Roman"/>
          <w:b/>
          <w:bCs/>
          <w:sz w:val="24"/>
          <w:szCs w:val="24"/>
          <w:lang w:eastAsia="pl-PL"/>
        </w:rPr>
        <w:t>miernika wartości</w:t>
      </w:r>
      <w:r w:rsidRPr="00291E3A">
        <w:rPr>
          <w:rFonts w:ascii="Times New Roman" w:eastAsia="Times New Roman" w:hAnsi="Times New Roman" w:cs="Times New Roman"/>
          <w:sz w:val="24"/>
          <w:szCs w:val="24"/>
          <w:lang w:eastAsia="pl-PL"/>
        </w:rPr>
        <w:t xml:space="preserve"> pozwala na wyrażenie wartości towarów i usług w pieniądzu. Pieniądz jest zatem jednostką rozrachunkową, w której określa się ceny i prowadzi rozliczenia. Funkcja miernika wartości jest związana również z </w:t>
      </w:r>
      <w:r w:rsidRPr="00291E3A">
        <w:rPr>
          <w:rFonts w:ascii="Times New Roman" w:eastAsia="Times New Roman" w:hAnsi="Times New Roman" w:cs="Times New Roman"/>
          <w:b/>
          <w:bCs/>
          <w:sz w:val="24"/>
          <w:szCs w:val="24"/>
          <w:lang w:eastAsia="pl-PL"/>
        </w:rPr>
        <w:t>siłą nabywczą pieniądza</w:t>
      </w:r>
      <w:r w:rsidRPr="00291E3A">
        <w:rPr>
          <w:rFonts w:ascii="Times New Roman" w:eastAsia="Times New Roman" w:hAnsi="Times New Roman" w:cs="Times New Roman"/>
          <w:sz w:val="24"/>
          <w:szCs w:val="24"/>
          <w:lang w:eastAsia="pl-PL"/>
        </w:rPr>
        <w:t xml:space="preserve">, określaną przez ilość towarów, którą można nabyć za daną jednostkę pieniądza. Funkcja pieniądza jako </w:t>
      </w:r>
      <w:r w:rsidRPr="00291E3A">
        <w:rPr>
          <w:rFonts w:ascii="Times New Roman" w:eastAsia="Times New Roman" w:hAnsi="Times New Roman" w:cs="Times New Roman"/>
          <w:b/>
          <w:bCs/>
          <w:sz w:val="24"/>
          <w:szCs w:val="24"/>
          <w:lang w:eastAsia="pl-PL"/>
        </w:rPr>
        <w:t>środka wymiany</w:t>
      </w:r>
      <w:r w:rsidRPr="00291E3A">
        <w:rPr>
          <w:rFonts w:ascii="Times New Roman" w:eastAsia="Times New Roman" w:hAnsi="Times New Roman" w:cs="Times New Roman"/>
          <w:sz w:val="24"/>
          <w:szCs w:val="24"/>
          <w:lang w:eastAsia="pl-PL"/>
        </w:rPr>
        <w:t xml:space="preserve"> jest związana z pośrednictwem w transakcjach kupna-sprzedaży towarów i usług. Pieniądz w funkcji </w:t>
      </w:r>
      <w:r w:rsidRPr="00291E3A">
        <w:rPr>
          <w:rFonts w:ascii="Times New Roman" w:eastAsia="Times New Roman" w:hAnsi="Times New Roman" w:cs="Times New Roman"/>
          <w:b/>
          <w:bCs/>
          <w:sz w:val="24"/>
          <w:szCs w:val="24"/>
          <w:lang w:eastAsia="pl-PL"/>
        </w:rPr>
        <w:t>środka płatniczego</w:t>
      </w:r>
      <w:r w:rsidRPr="00291E3A">
        <w:rPr>
          <w:rFonts w:ascii="Times New Roman" w:eastAsia="Times New Roman" w:hAnsi="Times New Roman" w:cs="Times New Roman"/>
          <w:sz w:val="24"/>
          <w:szCs w:val="24"/>
          <w:lang w:eastAsia="pl-PL"/>
        </w:rPr>
        <w:t xml:space="preserve"> występuje wtedy, kiedy reguluje się nim różne zobowiązania niezwiązane z zakupem towarów i usług. Są to przede wszystkim płatności dotyczące zaciągania i spłacania pożyczek, regulowania zobowiązań podatkowych i opłacania składek ubezpieczeniowych. Funkcja pieniądza jako </w:t>
      </w:r>
      <w:r w:rsidRPr="00291E3A">
        <w:rPr>
          <w:rFonts w:ascii="Times New Roman" w:eastAsia="Times New Roman" w:hAnsi="Times New Roman" w:cs="Times New Roman"/>
          <w:b/>
          <w:bCs/>
          <w:sz w:val="24"/>
          <w:szCs w:val="24"/>
          <w:lang w:eastAsia="pl-PL"/>
        </w:rPr>
        <w:t>środka tezauryzacji</w:t>
      </w:r>
      <w:r w:rsidRPr="00291E3A">
        <w:rPr>
          <w:rFonts w:ascii="Times New Roman" w:eastAsia="Times New Roman" w:hAnsi="Times New Roman" w:cs="Times New Roman"/>
          <w:sz w:val="24"/>
          <w:szCs w:val="24"/>
          <w:lang w:eastAsia="pl-PL"/>
        </w:rPr>
        <w:t xml:space="preserve"> [Tezauryzacja polega na gromadzeniu i przechowywaniu pieniędzy poza bankami.] jest wyróżniana w procesie, który prowadzi do zmniejszenia ilości pieniądza w obiegu. Funkcja tezauryzacji jest niekiedy określana jako funkcja środka przechowywania bogactwa. Funkcja pieniądza jako </w:t>
      </w:r>
      <w:r w:rsidRPr="00291E3A">
        <w:rPr>
          <w:rFonts w:ascii="Times New Roman" w:eastAsia="Times New Roman" w:hAnsi="Times New Roman" w:cs="Times New Roman"/>
          <w:b/>
          <w:bCs/>
          <w:sz w:val="24"/>
          <w:szCs w:val="24"/>
          <w:lang w:eastAsia="pl-PL"/>
        </w:rPr>
        <w:t>międzynarodowego środka płatniczego</w:t>
      </w:r>
      <w:r w:rsidRPr="00291E3A">
        <w:rPr>
          <w:rFonts w:ascii="Times New Roman" w:eastAsia="Times New Roman" w:hAnsi="Times New Roman" w:cs="Times New Roman"/>
          <w:sz w:val="24"/>
          <w:szCs w:val="24"/>
          <w:lang w:eastAsia="pl-PL"/>
        </w:rPr>
        <w:t xml:space="preserve"> oznacza, że pieniądz jednego kraju jest uznany jako środek płatniczy w innym kraju.</w:t>
      </w:r>
    </w:p>
    <w:p w14:paraId="79A1BB6C" w14:textId="77777777" w:rsidR="00291E3A" w:rsidRPr="00291E3A" w:rsidRDefault="00291E3A" w:rsidP="00291E3A">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291E3A">
        <w:rPr>
          <w:rFonts w:ascii="Times New Roman" w:eastAsia="Times New Roman" w:hAnsi="Times New Roman" w:cs="Times New Roman"/>
          <w:b/>
          <w:bCs/>
          <w:sz w:val="27"/>
          <w:szCs w:val="27"/>
          <w:lang w:eastAsia="pl-PL"/>
        </w:rPr>
        <w:t>Formy pieniądza i jego zmiany w Polsce</w:t>
      </w:r>
    </w:p>
    <w:p w14:paraId="4CA01B4A"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Współcześnie pieniądze występują w dwóch formach:</w:t>
      </w:r>
    </w:p>
    <w:p w14:paraId="3543C5DE"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1. pieniądz gotówkowy</w:t>
      </w:r>
      <w:r w:rsidRPr="00291E3A">
        <w:rPr>
          <w:rFonts w:ascii="Times New Roman" w:eastAsia="Times New Roman" w:hAnsi="Times New Roman" w:cs="Times New Roman"/>
          <w:sz w:val="24"/>
          <w:szCs w:val="24"/>
          <w:lang w:eastAsia="pl-PL"/>
        </w:rPr>
        <w:t xml:space="preserve"> (realny), wykonany z materialnej substancji w formie:</w:t>
      </w:r>
    </w:p>
    <w:p w14:paraId="040AA347"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a) pieniądza papierowego, w postaci banknotów lub biletów bankowych,</w:t>
      </w:r>
    </w:p>
    <w:p w14:paraId="2726952A"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b) pieniądza metalowego, w postaci monet (tzw. bilonu);</w:t>
      </w:r>
    </w:p>
    <w:p w14:paraId="0E3532D8"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b/>
          <w:bCs/>
          <w:sz w:val="24"/>
          <w:szCs w:val="24"/>
          <w:lang w:eastAsia="pl-PL"/>
        </w:rPr>
        <w:t>2. pieniądz bankowy</w:t>
      </w:r>
      <w:r w:rsidRPr="00291E3A">
        <w:rPr>
          <w:rFonts w:ascii="Times New Roman" w:eastAsia="Times New Roman" w:hAnsi="Times New Roman" w:cs="Times New Roman"/>
          <w:sz w:val="24"/>
          <w:szCs w:val="24"/>
          <w:lang w:eastAsia="pl-PL"/>
        </w:rPr>
        <w:t xml:space="preserve"> (bezgotówkowy), niemający materialnej postaci fizycznej, który stanowi przedmiot ewidencji księgowej banków.</w:t>
      </w:r>
    </w:p>
    <w:p w14:paraId="29EC3FFE"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 xml:space="preserve">W Polsce w dniu 1 stycznia 1995 r. dokonano </w:t>
      </w:r>
      <w:r w:rsidRPr="00291E3A">
        <w:rPr>
          <w:rFonts w:ascii="Times New Roman" w:eastAsia="Times New Roman" w:hAnsi="Times New Roman" w:cs="Times New Roman"/>
          <w:b/>
          <w:bCs/>
          <w:sz w:val="24"/>
          <w:szCs w:val="24"/>
          <w:lang w:eastAsia="pl-PL"/>
        </w:rPr>
        <w:t>denominacji</w:t>
      </w:r>
      <w:r w:rsidRPr="00291E3A">
        <w:rPr>
          <w:rFonts w:ascii="Times New Roman" w:eastAsia="Times New Roman" w:hAnsi="Times New Roman" w:cs="Times New Roman"/>
          <w:sz w:val="24"/>
          <w:szCs w:val="24"/>
          <w:lang w:eastAsia="pl-PL"/>
        </w:rPr>
        <w:t>, która miała na celu wzmocnienie i stabilizację pieniądza. W jej wyniku 1 nowy złoty polski (PLN) zastąpił 10 000 tzw. starych złotych (złoty sprzed denominacji). Obecnie w Polsce prawnym środkiem płatniczym jest 1 złoty podzielny na 100 groszy. W obiegu znajdują się banknoty i monety emitowane przez Narodowy Bank Polski.</w:t>
      </w:r>
    </w:p>
    <w:p w14:paraId="675FBD9A"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 xml:space="preserve">Każde państwo członkowskie Unii Europejskiej, w tym Polska, zgodnie z podpisanymi traktatami powinno przyjąć wspólną europejską walutę – </w:t>
      </w:r>
      <w:r w:rsidRPr="00291E3A">
        <w:rPr>
          <w:rFonts w:ascii="Times New Roman" w:eastAsia="Times New Roman" w:hAnsi="Times New Roman" w:cs="Times New Roman"/>
          <w:b/>
          <w:bCs/>
          <w:sz w:val="24"/>
          <w:szCs w:val="24"/>
          <w:lang w:eastAsia="pl-PL"/>
        </w:rPr>
        <w:t>euro</w:t>
      </w:r>
      <w:r w:rsidRPr="00291E3A">
        <w:rPr>
          <w:rFonts w:ascii="Times New Roman" w:eastAsia="Times New Roman" w:hAnsi="Times New Roman" w:cs="Times New Roman"/>
          <w:sz w:val="24"/>
          <w:szCs w:val="24"/>
          <w:lang w:eastAsia="pl-PL"/>
        </w:rPr>
        <w:t>. Po wprowadzeniu euro w Polsce będzie obowiązywał tzw. okres podwójnego obiegu, kiedy będzie można posługiwać się zarówno euro, jak i złotym. Monety i banknoty będzie można wymienić na euro bez prowizji w Narodowym Banku Polskim.</w:t>
      </w:r>
    </w:p>
    <w:p w14:paraId="5EF99DFA"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 xml:space="preserve">Wprowadzenie euro nie zmieni faktycznej wartości złotego, którego wartość zostanie przeliczona na równowartość w euro. Będzie to zatem sytuacja podobna do tej, która miała miejsce w 1995 r. przy denominacji. Po przyjęciu euro stracimy jednak niezależną politykę pieniężną, którą od tej pory będzie prowadził Europejski Bank Centralny. Wprowadzenie euro do obiegu będzie oznaczało również koszty dla administracji publicznej, Narodowego Banku Polskiego, przedsiębiorców oraz sektora bankowego. Jednak po przystąpieniu do strefy euro znikną koszty wymiany walut i ryzyko związane ze zmianą kursu złotego do euro, co jest szczególne ważne dla przedsiębiorców dokonujących transakcji międzynarodowych. Przewiduje się także spadek stóp procentowych. Ułatwione będzie podróżowanie i porównywanie cen, bez przeliczania jednej waluty na drugą. W dłuższej perspektywie </w:t>
      </w:r>
      <w:r w:rsidRPr="00291E3A">
        <w:rPr>
          <w:rFonts w:ascii="Times New Roman" w:eastAsia="Times New Roman" w:hAnsi="Times New Roman" w:cs="Times New Roman"/>
          <w:sz w:val="24"/>
          <w:szCs w:val="24"/>
          <w:lang w:eastAsia="pl-PL"/>
        </w:rPr>
        <w:lastRenderedPageBreak/>
        <w:t>powinny nastąpić: wzrost inwestycji, ożywienie wymiany handlowej oraz zwiększenie wiarygodności makroekonomicznej Polski.</w:t>
      </w:r>
    </w:p>
    <w:p w14:paraId="292E6247"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noProof/>
          <w:sz w:val="24"/>
          <w:szCs w:val="24"/>
          <w:lang w:eastAsia="pl-PL"/>
        </w:rPr>
        <w:drawing>
          <wp:inline distT="0" distB="0" distL="0" distR="0" wp14:anchorId="6F7E0929" wp14:editId="0972C7E7">
            <wp:extent cx="6098400" cy="273600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8400" cy="2736000"/>
                    </a:xfrm>
                    <a:prstGeom prst="rect">
                      <a:avLst/>
                    </a:prstGeom>
                    <a:noFill/>
                    <a:ln>
                      <a:noFill/>
                    </a:ln>
                  </pic:spPr>
                </pic:pic>
              </a:graphicData>
            </a:graphic>
          </wp:inline>
        </w:drawing>
      </w:r>
    </w:p>
    <w:p w14:paraId="737D0B31"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Rycina 3.4. Banknot sprzed 1995 r. [Źródło: Narodowy Bank Polski.]</w:t>
      </w:r>
    </w:p>
    <w:tbl>
      <w:tblPr>
        <w:tblW w:w="0" w:type="auto"/>
        <w:tblCellSpacing w:w="0" w:type="dxa"/>
        <w:tblCellMar>
          <w:left w:w="0" w:type="dxa"/>
          <w:right w:w="0" w:type="dxa"/>
        </w:tblCellMar>
        <w:tblLook w:val="04A0" w:firstRow="1" w:lastRow="0" w:firstColumn="1" w:lastColumn="0" w:noHBand="0" w:noVBand="1"/>
      </w:tblPr>
      <w:tblGrid>
        <w:gridCol w:w="1378"/>
        <w:gridCol w:w="7694"/>
      </w:tblGrid>
      <w:tr w:rsidR="00291E3A" w:rsidRPr="00291E3A" w14:paraId="411F401B" w14:textId="77777777" w:rsidTr="00291E3A">
        <w:trPr>
          <w:tblCellSpacing w:w="0" w:type="dxa"/>
        </w:trPr>
        <w:tc>
          <w:tcPr>
            <w:tcW w:w="1410" w:type="dxa"/>
            <w:vMerge w:val="restart"/>
            <w:hideMark/>
          </w:tcPr>
          <w:p w14:paraId="1F2348FE"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noProof/>
                <w:sz w:val="24"/>
                <w:szCs w:val="24"/>
                <w:lang w:eastAsia="pl-PL"/>
              </w:rPr>
              <mc:AlternateContent>
                <mc:Choice Requires="wps">
                  <w:drawing>
                    <wp:inline distT="0" distB="0" distL="0" distR="0" wp14:anchorId="16BE0B97" wp14:editId="13CF5941">
                      <wp:extent cx="304800" cy="304800"/>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FC1CBE"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Qb5gEAAMQDAAAOAAAAZHJzL2Uyb0RvYy54bWysU9tu2zAMfR+wfxD0vtjJ0q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4d1I46HlF15uI&#10;ubO4SPIMPlRc9eQfKQ0Y/D2qn0E4vGnBrfV18Czy+PkxRIRDq6FhntMEUTzDSE5gNLEavmLDDYEb&#10;ZvF2hvrUg2URu7yj/WlHeheF4uD7cn5Z8iYVpw526gDV8WNPIX7W2Itk1JKYXQaH7X2IY+mxJPVy&#10;eGe7juNQde5ZgDFTJJNPfEcpVtjsmTvheEp8+my0SL+lGPiMahl+bYC0FN0Xx/N/ms7n6e6yM7/4&#10;OGOHzjOr8ww4xVC1jFKM5k0cb3Xjya7bLPPIMS3J2DxP0nNkdSDLp5IVOZx1usVzP1f9/fmWf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A7KQb5gEAAMQDAAAOAAAAAAAAAAAAAAAAAC4CAABkcnMvZTJvRG9jLnhtbFBLAQItABQA&#10;BgAIAAAAIQBMoOks2AAAAAMBAAAPAAAAAAAAAAAAAAAAAEAEAABkcnMvZG93bnJldi54bWxQSwUG&#10;AAAAAAQABADzAAAARQUAAAAA&#10;" filled="f" stroked="f">
                      <o:lock v:ext="edit" aspectratio="t"/>
                      <w10:anchorlock/>
                    </v:rect>
                  </w:pict>
                </mc:Fallback>
              </mc:AlternateContent>
            </w:r>
          </w:p>
        </w:tc>
        <w:tc>
          <w:tcPr>
            <w:tcW w:w="7830" w:type="dxa"/>
            <w:hideMark/>
          </w:tcPr>
          <w:p w14:paraId="27B40B39"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Ciekawostka z Polski</w:t>
            </w:r>
          </w:p>
        </w:tc>
      </w:tr>
      <w:tr w:rsidR="00291E3A" w:rsidRPr="00291E3A" w14:paraId="24BC4EDF" w14:textId="77777777" w:rsidTr="00291E3A">
        <w:trPr>
          <w:tblCellSpacing w:w="0" w:type="dxa"/>
        </w:trPr>
        <w:tc>
          <w:tcPr>
            <w:tcW w:w="0" w:type="auto"/>
            <w:vMerge/>
            <w:vAlign w:val="center"/>
            <w:hideMark/>
          </w:tcPr>
          <w:p w14:paraId="66EB20B3" w14:textId="77777777" w:rsidR="00291E3A" w:rsidRPr="00291E3A" w:rsidRDefault="00291E3A" w:rsidP="00291E3A">
            <w:pPr>
              <w:spacing w:after="0" w:line="240" w:lineRule="auto"/>
              <w:rPr>
                <w:rFonts w:ascii="Times New Roman" w:eastAsia="Times New Roman" w:hAnsi="Times New Roman" w:cs="Times New Roman"/>
                <w:sz w:val="24"/>
                <w:szCs w:val="24"/>
                <w:lang w:eastAsia="pl-PL"/>
              </w:rPr>
            </w:pPr>
          </w:p>
        </w:tc>
        <w:tc>
          <w:tcPr>
            <w:tcW w:w="7830" w:type="dxa"/>
            <w:hideMark/>
          </w:tcPr>
          <w:p w14:paraId="65526B83"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Jeszcze do końca XIX w. w wielu regionach świata można było płacić muszelkami. Muszelki morskiego ślimaka kauri przez wieki były bardzo popularnym środkiem płatniczym w Azji, Afryce i Oceanii. Z czasem jednak straciły wartość handlową – pozostały tylko ozdobą, którą można m.in. zobaczyć na góralskich kapeluszach na Podhalu.</w:t>
            </w:r>
          </w:p>
          <w:p w14:paraId="25F35D6E"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noProof/>
                <w:sz w:val="24"/>
                <w:szCs w:val="24"/>
                <w:lang w:eastAsia="pl-PL"/>
              </w:rPr>
              <w:drawing>
                <wp:inline distT="0" distB="0" distL="0" distR="0" wp14:anchorId="149FCB56" wp14:editId="25527E39">
                  <wp:extent cx="2440800" cy="9000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0800" cy="900000"/>
                          </a:xfrm>
                          <a:prstGeom prst="rect">
                            <a:avLst/>
                          </a:prstGeom>
                          <a:noFill/>
                          <a:ln>
                            <a:noFill/>
                          </a:ln>
                        </pic:spPr>
                      </pic:pic>
                    </a:graphicData>
                  </a:graphic>
                </wp:inline>
              </w:drawing>
            </w:r>
          </w:p>
          <w:p w14:paraId="0453FA77" w14:textId="77777777" w:rsidR="00291E3A" w:rsidRPr="00291E3A" w:rsidRDefault="00291E3A" w:rsidP="00291E3A">
            <w:pPr>
              <w:spacing w:before="100" w:beforeAutospacing="1" w:after="100" w:afterAutospacing="1" w:line="240" w:lineRule="auto"/>
              <w:rPr>
                <w:rFonts w:ascii="Times New Roman" w:eastAsia="Times New Roman" w:hAnsi="Times New Roman" w:cs="Times New Roman"/>
                <w:sz w:val="24"/>
                <w:szCs w:val="24"/>
                <w:lang w:eastAsia="pl-PL"/>
              </w:rPr>
            </w:pPr>
            <w:r w:rsidRPr="00291E3A">
              <w:rPr>
                <w:rFonts w:ascii="Times New Roman" w:eastAsia="Times New Roman" w:hAnsi="Times New Roman" w:cs="Times New Roman"/>
                <w:sz w:val="24"/>
                <w:szCs w:val="24"/>
                <w:lang w:eastAsia="pl-PL"/>
              </w:rPr>
              <w:t>Rycina 3.5. Muszelki kauri na góralskim kapeluszu.</w:t>
            </w:r>
          </w:p>
        </w:tc>
      </w:tr>
    </w:tbl>
    <w:p w14:paraId="224C4343" w14:textId="1F1EB731" w:rsidR="00BC0F57" w:rsidRDefault="00BC0F57"/>
    <w:tbl>
      <w:tblPr>
        <w:tblW w:w="0" w:type="auto"/>
        <w:tblCellSpacing w:w="0" w:type="dxa"/>
        <w:tblCellMar>
          <w:left w:w="0" w:type="dxa"/>
          <w:right w:w="0" w:type="dxa"/>
        </w:tblCellMar>
        <w:tblLook w:val="04A0" w:firstRow="1" w:lastRow="0" w:firstColumn="1" w:lastColumn="0" w:noHBand="0" w:noVBand="1"/>
      </w:tblPr>
      <w:tblGrid>
        <w:gridCol w:w="1346"/>
        <w:gridCol w:w="7726"/>
      </w:tblGrid>
      <w:tr w:rsidR="003C7EB8" w:rsidRPr="003C7EB8" w14:paraId="45289D85" w14:textId="77777777" w:rsidTr="003C7EB8">
        <w:trPr>
          <w:tblCellSpacing w:w="0" w:type="dxa"/>
        </w:trPr>
        <w:tc>
          <w:tcPr>
            <w:tcW w:w="1410" w:type="dxa"/>
            <w:vMerge w:val="restart"/>
            <w:hideMark/>
          </w:tcPr>
          <w:p w14:paraId="753A15D7" w14:textId="77777777" w:rsidR="003C7EB8" w:rsidRPr="003C7EB8" w:rsidRDefault="003C7EB8" w:rsidP="003C7EB8">
            <w:pPr>
              <w:spacing w:before="100" w:beforeAutospacing="1" w:after="100" w:afterAutospacing="1" w:line="240" w:lineRule="auto"/>
              <w:rPr>
                <w:rFonts w:ascii="Times New Roman" w:eastAsia="Times New Roman" w:hAnsi="Times New Roman" w:cs="Times New Roman"/>
                <w:b/>
                <w:bCs/>
                <w:sz w:val="24"/>
                <w:szCs w:val="24"/>
                <w:lang w:eastAsia="pl-PL"/>
              </w:rPr>
            </w:pPr>
            <w:r w:rsidRPr="003C7EB8">
              <w:rPr>
                <w:rFonts w:ascii="Times New Roman" w:eastAsia="Times New Roman" w:hAnsi="Times New Roman" w:cs="Times New Roman"/>
                <w:b/>
                <w:bCs/>
                <w:noProof/>
                <w:sz w:val="24"/>
                <w:szCs w:val="24"/>
                <w:lang w:eastAsia="pl-PL"/>
              </w:rPr>
              <mc:AlternateContent>
                <mc:Choice Requires="wps">
                  <w:drawing>
                    <wp:inline distT="0" distB="0" distL="0" distR="0" wp14:anchorId="162EF45D" wp14:editId="22614577">
                      <wp:extent cx="304800" cy="304800"/>
                      <wp:effectExtent l="0" t="0" r="0" b="0"/>
                      <wp:docPr id="8"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7E9849"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FgWom+cBAADEAwAADgAAAAAAAAAAAAAAAAAuAgAAZHJzL2Uyb0RvYy54bWxQSwECLQAU&#10;AAYACAAAACEATKDpLNgAAAADAQAADwAAAAAAAAAAAAAAAABBBAAAZHJzL2Rvd25yZXYueG1sUEsF&#10;BgAAAAAEAAQA8wAAAEYFAAAAAA==&#10;" filled="f" stroked="f">
                      <o:lock v:ext="edit" aspectratio="t"/>
                      <w10:anchorlock/>
                    </v:rect>
                  </w:pict>
                </mc:Fallback>
              </mc:AlternateContent>
            </w:r>
          </w:p>
        </w:tc>
        <w:tc>
          <w:tcPr>
            <w:tcW w:w="7830" w:type="dxa"/>
            <w:hideMark/>
          </w:tcPr>
          <w:p w14:paraId="5FC34618" w14:textId="77777777" w:rsidR="003C7EB8" w:rsidRDefault="003C7EB8" w:rsidP="003C7EB8">
            <w:pPr>
              <w:spacing w:before="100" w:beforeAutospacing="1" w:after="100" w:afterAutospacing="1" w:line="240" w:lineRule="auto"/>
              <w:rPr>
                <w:rFonts w:ascii="Times New Roman" w:eastAsia="Times New Roman" w:hAnsi="Times New Roman" w:cs="Times New Roman"/>
                <w:b/>
                <w:bCs/>
                <w:sz w:val="24"/>
                <w:szCs w:val="24"/>
                <w:lang w:eastAsia="pl-PL"/>
              </w:rPr>
            </w:pPr>
            <w:r w:rsidRPr="003C7EB8">
              <w:rPr>
                <w:rFonts w:ascii="Times New Roman" w:eastAsia="Times New Roman" w:hAnsi="Times New Roman" w:cs="Times New Roman"/>
                <w:b/>
                <w:bCs/>
                <w:sz w:val="24"/>
                <w:szCs w:val="24"/>
                <w:lang w:eastAsia="pl-PL"/>
              </w:rPr>
              <w:t>Warto kliknąć i wiedzieć więcej</w:t>
            </w:r>
          </w:p>
          <w:p w14:paraId="5064C6BA" w14:textId="10BDE33D" w:rsidR="003C7EB8" w:rsidRPr="003C7EB8" w:rsidRDefault="003C7EB8" w:rsidP="003C7EB8">
            <w:pPr>
              <w:spacing w:before="100" w:beforeAutospacing="1" w:after="100" w:afterAutospacing="1" w:line="240" w:lineRule="auto"/>
              <w:rPr>
                <w:rFonts w:ascii="Times New Roman" w:eastAsia="Times New Roman" w:hAnsi="Times New Roman" w:cs="Times New Roman"/>
                <w:b/>
                <w:bCs/>
                <w:sz w:val="24"/>
                <w:szCs w:val="24"/>
                <w:lang w:eastAsia="pl-PL"/>
              </w:rPr>
            </w:pPr>
          </w:p>
        </w:tc>
      </w:tr>
      <w:tr w:rsidR="003C7EB8" w:rsidRPr="003C7EB8" w14:paraId="635A31A2" w14:textId="77777777" w:rsidTr="003C7EB8">
        <w:trPr>
          <w:tblCellSpacing w:w="0" w:type="dxa"/>
        </w:trPr>
        <w:tc>
          <w:tcPr>
            <w:tcW w:w="0" w:type="auto"/>
            <w:vMerge/>
            <w:vAlign w:val="center"/>
            <w:hideMark/>
          </w:tcPr>
          <w:p w14:paraId="422FC9E3" w14:textId="77777777" w:rsidR="003C7EB8" w:rsidRPr="003C7EB8" w:rsidRDefault="003C7EB8" w:rsidP="003C7EB8">
            <w:pPr>
              <w:spacing w:after="0" w:line="240" w:lineRule="auto"/>
              <w:rPr>
                <w:rFonts w:ascii="Times New Roman" w:eastAsia="Times New Roman" w:hAnsi="Times New Roman" w:cs="Times New Roman"/>
                <w:sz w:val="24"/>
                <w:szCs w:val="24"/>
                <w:lang w:eastAsia="pl-PL"/>
              </w:rPr>
            </w:pPr>
          </w:p>
        </w:tc>
        <w:tc>
          <w:tcPr>
            <w:tcW w:w="7830" w:type="dxa"/>
            <w:hideMark/>
          </w:tcPr>
          <w:p w14:paraId="3E60E9C0" w14:textId="77777777" w:rsidR="003C7EB8" w:rsidRPr="003C7EB8" w:rsidRDefault="003C7EB8" w:rsidP="003C7EB8">
            <w:pPr>
              <w:spacing w:before="100" w:beforeAutospacing="1" w:after="100" w:afterAutospacing="1" w:line="240" w:lineRule="auto"/>
              <w:rPr>
                <w:rFonts w:ascii="Times New Roman" w:eastAsia="Times New Roman" w:hAnsi="Times New Roman" w:cs="Times New Roman"/>
                <w:sz w:val="24"/>
                <w:szCs w:val="24"/>
                <w:lang w:eastAsia="pl-PL"/>
              </w:rPr>
            </w:pPr>
            <w:r w:rsidRPr="003C7EB8">
              <w:rPr>
                <w:rFonts w:ascii="Times New Roman" w:eastAsia="Times New Roman" w:hAnsi="Times New Roman" w:cs="Times New Roman"/>
                <w:sz w:val="24"/>
                <w:szCs w:val="24"/>
                <w:lang w:eastAsia="pl-PL"/>
              </w:rPr>
              <w:t xml:space="preserve">[Historia pieniądza; </w:t>
            </w:r>
            <w:hyperlink r:id="rId11" w:history="1">
              <w:r w:rsidRPr="003C7EB8">
                <w:rPr>
                  <w:rFonts w:ascii="Times New Roman" w:eastAsia="Times New Roman" w:hAnsi="Times New Roman" w:cs="Times New Roman"/>
                  <w:color w:val="0000FF"/>
                  <w:sz w:val="24"/>
                  <w:szCs w:val="24"/>
                  <w:u w:val="single"/>
                  <w:lang w:eastAsia="pl-PL"/>
                </w:rPr>
                <w:t>http://www.nbportal.pl/pl/np/numizmatyka/historia-monet.html</w:t>
              </w:r>
            </w:hyperlink>
            <w:r w:rsidRPr="003C7EB8">
              <w:rPr>
                <w:rFonts w:ascii="Times New Roman" w:eastAsia="Times New Roman" w:hAnsi="Times New Roman" w:cs="Times New Roman"/>
                <w:sz w:val="24"/>
                <w:szCs w:val="24"/>
                <w:lang w:eastAsia="pl-PL"/>
              </w:rPr>
              <w:t>]</w:t>
            </w:r>
          </w:p>
          <w:p w14:paraId="26F42DE3" w14:textId="77777777" w:rsidR="003C7EB8" w:rsidRPr="003C7EB8" w:rsidRDefault="003C7EB8" w:rsidP="003C7EB8">
            <w:pPr>
              <w:spacing w:before="100" w:beforeAutospacing="1" w:after="100" w:afterAutospacing="1" w:line="240" w:lineRule="auto"/>
              <w:rPr>
                <w:rFonts w:ascii="Times New Roman" w:eastAsia="Times New Roman" w:hAnsi="Times New Roman" w:cs="Times New Roman"/>
                <w:sz w:val="24"/>
                <w:szCs w:val="24"/>
                <w:lang w:eastAsia="pl-PL"/>
              </w:rPr>
            </w:pPr>
            <w:r w:rsidRPr="003C7EB8">
              <w:rPr>
                <w:rFonts w:ascii="Times New Roman" w:eastAsia="Times New Roman" w:hAnsi="Times New Roman" w:cs="Times New Roman"/>
                <w:sz w:val="24"/>
                <w:szCs w:val="24"/>
                <w:lang w:eastAsia="pl-PL"/>
              </w:rPr>
              <w:t>[Artykuł</w:t>
            </w:r>
            <w:r w:rsidRPr="003C7EB8">
              <w:rPr>
                <w:rFonts w:ascii="Times New Roman" w:eastAsia="Times New Roman" w:hAnsi="Times New Roman" w:cs="Times New Roman"/>
                <w:i/>
                <w:iCs/>
                <w:sz w:val="24"/>
                <w:szCs w:val="24"/>
                <w:lang w:eastAsia="pl-PL"/>
              </w:rPr>
              <w:t xml:space="preserve"> </w:t>
            </w:r>
            <w:r w:rsidRPr="003C7EB8">
              <w:rPr>
                <w:rFonts w:ascii="Times New Roman" w:eastAsia="Times New Roman" w:hAnsi="Times New Roman" w:cs="Times New Roman"/>
                <w:sz w:val="24"/>
                <w:szCs w:val="24"/>
                <w:lang w:eastAsia="pl-PL"/>
              </w:rPr>
              <w:t xml:space="preserve">pt. </w:t>
            </w:r>
            <w:r w:rsidRPr="003C7EB8">
              <w:rPr>
                <w:rFonts w:ascii="Times New Roman" w:eastAsia="Times New Roman" w:hAnsi="Times New Roman" w:cs="Times New Roman"/>
                <w:i/>
                <w:iCs/>
                <w:sz w:val="24"/>
                <w:szCs w:val="24"/>
                <w:lang w:eastAsia="pl-PL"/>
              </w:rPr>
              <w:t>Historia pieniądza: co było na początku?</w:t>
            </w:r>
            <w:r w:rsidRPr="003C7EB8">
              <w:rPr>
                <w:rFonts w:ascii="Times New Roman" w:eastAsia="Times New Roman" w:hAnsi="Times New Roman" w:cs="Times New Roman"/>
                <w:sz w:val="24"/>
                <w:szCs w:val="24"/>
                <w:lang w:eastAsia="pl-PL"/>
              </w:rPr>
              <w:t xml:space="preserve">; </w:t>
            </w:r>
            <w:hyperlink r:id="rId12" w:history="1">
              <w:r w:rsidRPr="003C7EB8">
                <w:rPr>
                  <w:rFonts w:ascii="Times New Roman" w:eastAsia="Times New Roman" w:hAnsi="Times New Roman" w:cs="Times New Roman"/>
                  <w:color w:val="0000FF"/>
                  <w:sz w:val="24"/>
                  <w:szCs w:val="24"/>
                  <w:u w:val="single"/>
                  <w:lang w:eastAsia="pl-PL"/>
                </w:rPr>
                <w:t>http://www.wilanow- palac.art.pl/historia_pieniadza_co_bylo_na_poczatku.html</w:t>
              </w:r>
            </w:hyperlink>
            <w:r w:rsidRPr="003C7EB8">
              <w:rPr>
                <w:rFonts w:ascii="Times New Roman" w:eastAsia="Times New Roman" w:hAnsi="Times New Roman" w:cs="Times New Roman"/>
                <w:sz w:val="24"/>
                <w:szCs w:val="24"/>
                <w:lang w:eastAsia="pl-PL"/>
              </w:rPr>
              <w:t>]</w:t>
            </w:r>
          </w:p>
          <w:p w14:paraId="00912DB8" w14:textId="77777777" w:rsidR="003C7EB8" w:rsidRPr="003C7EB8" w:rsidRDefault="003C7EB8" w:rsidP="003C7EB8">
            <w:pPr>
              <w:spacing w:before="100" w:beforeAutospacing="1" w:after="100" w:afterAutospacing="1" w:line="240" w:lineRule="auto"/>
              <w:rPr>
                <w:rFonts w:ascii="Times New Roman" w:eastAsia="Times New Roman" w:hAnsi="Times New Roman" w:cs="Times New Roman"/>
                <w:sz w:val="24"/>
                <w:szCs w:val="24"/>
                <w:lang w:eastAsia="pl-PL"/>
              </w:rPr>
            </w:pPr>
            <w:r w:rsidRPr="003C7EB8">
              <w:rPr>
                <w:rFonts w:ascii="Times New Roman" w:eastAsia="Times New Roman" w:hAnsi="Times New Roman" w:cs="Times New Roman"/>
                <w:sz w:val="24"/>
                <w:szCs w:val="24"/>
                <w:lang w:eastAsia="pl-PL"/>
              </w:rPr>
              <w:t xml:space="preserve">[Przyjęcie wspólnej waluty euro w opinii Polaków w kwietniu 2009; </w:t>
            </w:r>
            <w:hyperlink r:id="rId13" w:history="1">
              <w:r w:rsidRPr="003C7EB8">
                <w:rPr>
                  <w:rFonts w:ascii="Times New Roman" w:eastAsia="Times New Roman" w:hAnsi="Times New Roman" w:cs="Times New Roman"/>
                  <w:color w:val="0000FF"/>
                  <w:sz w:val="24"/>
                  <w:szCs w:val="24"/>
                  <w:u w:val="single"/>
                  <w:lang w:eastAsia="pl-PL"/>
                </w:rPr>
                <w:t>http://www.obop-arch.tnsglobal.pl/abin/r/7755/K.032- 09_Euro_O04a09.pdf</w:t>
              </w:r>
            </w:hyperlink>
            <w:r w:rsidRPr="003C7EB8">
              <w:rPr>
                <w:rFonts w:ascii="Times New Roman" w:eastAsia="Times New Roman" w:hAnsi="Times New Roman" w:cs="Times New Roman"/>
                <w:sz w:val="24"/>
                <w:szCs w:val="24"/>
                <w:lang w:eastAsia="pl-PL"/>
              </w:rPr>
              <w:t xml:space="preserve"> ]</w:t>
            </w:r>
          </w:p>
          <w:p w14:paraId="5C938D8F" w14:textId="77777777" w:rsidR="003C7EB8" w:rsidRPr="003C7EB8" w:rsidRDefault="003C7EB8" w:rsidP="003C7EB8">
            <w:pPr>
              <w:spacing w:before="100" w:beforeAutospacing="1" w:after="100" w:afterAutospacing="1" w:line="240" w:lineRule="auto"/>
              <w:rPr>
                <w:rFonts w:ascii="Times New Roman" w:eastAsia="Times New Roman" w:hAnsi="Times New Roman" w:cs="Times New Roman"/>
                <w:sz w:val="24"/>
                <w:szCs w:val="24"/>
                <w:lang w:eastAsia="pl-PL"/>
              </w:rPr>
            </w:pPr>
            <w:r w:rsidRPr="003C7EB8">
              <w:rPr>
                <w:rFonts w:ascii="Times New Roman" w:eastAsia="Times New Roman" w:hAnsi="Times New Roman" w:cs="Times New Roman"/>
                <w:sz w:val="24"/>
                <w:szCs w:val="24"/>
                <w:lang w:eastAsia="pl-PL"/>
              </w:rPr>
              <w:lastRenderedPageBreak/>
              <w:t xml:space="preserve">[Zabezpieczenia polskich banknotów; </w:t>
            </w:r>
            <w:hyperlink r:id="rId14" w:history="1">
              <w:r w:rsidRPr="003C7EB8">
                <w:rPr>
                  <w:rFonts w:ascii="Times New Roman" w:eastAsia="Times New Roman" w:hAnsi="Times New Roman" w:cs="Times New Roman"/>
                  <w:color w:val="0000FF"/>
                  <w:sz w:val="24"/>
                  <w:szCs w:val="24"/>
                  <w:u w:val="single"/>
                  <w:lang w:eastAsia="pl-PL"/>
                </w:rPr>
                <w:t>http://www.nbp.pl/home.aspx?f=/BezpiecznePieniadze/main.html</w:t>
              </w:r>
            </w:hyperlink>
            <w:r w:rsidRPr="003C7EB8">
              <w:rPr>
                <w:rFonts w:ascii="Times New Roman" w:eastAsia="Times New Roman" w:hAnsi="Times New Roman" w:cs="Times New Roman"/>
                <w:sz w:val="24"/>
                <w:szCs w:val="24"/>
                <w:lang w:eastAsia="pl-PL"/>
              </w:rPr>
              <w:t xml:space="preserve"> ]</w:t>
            </w:r>
          </w:p>
          <w:p w14:paraId="23AA9D1D" w14:textId="77777777" w:rsidR="003C7EB8" w:rsidRPr="003C7EB8" w:rsidRDefault="003C7EB8" w:rsidP="003C7EB8">
            <w:pPr>
              <w:spacing w:before="100" w:beforeAutospacing="1" w:after="100" w:afterAutospacing="1" w:line="240" w:lineRule="auto"/>
              <w:rPr>
                <w:rFonts w:ascii="Times New Roman" w:eastAsia="Times New Roman" w:hAnsi="Times New Roman" w:cs="Times New Roman"/>
                <w:sz w:val="24"/>
                <w:szCs w:val="24"/>
                <w:lang w:eastAsia="pl-PL"/>
              </w:rPr>
            </w:pPr>
            <w:r w:rsidRPr="003C7EB8">
              <w:rPr>
                <w:rFonts w:ascii="Times New Roman" w:eastAsia="Times New Roman" w:hAnsi="Times New Roman" w:cs="Times New Roman"/>
                <w:sz w:val="24"/>
                <w:szCs w:val="24"/>
                <w:lang w:eastAsia="pl-PL"/>
              </w:rPr>
              <w:t xml:space="preserve">[Informacje o euro; </w:t>
            </w:r>
            <w:hyperlink r:id="rId15" w:history="1">
              <w:r w:rsidRPr="003C7EB8">
                <w:rPr>
                  <w:rFonts w:ascii="Times New Roman" w:eastAsia="Times New Roman" w:hAnsi="Times New Roman" w:cs="Times New Roman"/>
                  <w:color w:val="0000FF"/>
                  <w:sz w:val="24"/>
                  <w:szCs w:val="24"/>
                  <w:u w:val="single"/>
                  <w:lang w:eastAsia="pl-PL"/>
                </w:rPr>
                <w:t>http://europa.eu/about-eu/basic-information/money/euro/index_pl.htm</w:t>
              </w:r>
            </w:hyperlink>
            <w:r w:rsidRPr="003C7EB8">
              <w:rPr>
                <w:rFonts w:ascii="Times New Roman" w:eastAsia="Times New Roman" w:hAnsi="Times New Roman" w:cs="Times New Roman"/>
                <w:sz w:val="24"/>
                <w:szCs w:val="24"/>
                <w:lang w:eastAsia="pl-PL"/>
              </w:rPr>
              <w:t>]</w:t>
            </w:r>
          </w:p>
        </w:tc>
      </w:tr>
    </w:tbl>
    <w:p w14:paraId="78669D5A" w14:textId="30A2BF6B" w:rsidR="003C7EB8" w:rsidRDefault="003C7EB8"/>
    <w:p w14:paraId="6E964269" w14:textId="157EAE7B" w:rsidR="0055405F" w:rsidRDefault="0055405F"/>
    <w:p w14:paraId="72640522" w14:textId="77777777" w:rsidR="0055405F" w:rsidRPr="0055405F" w:rsidRDefault="0055405F" w:rsidP="0055405F">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55405F">
        <w:rPr>
          <w:rFonts w:ascii="Times New Roman" w:eastAsia="Times New Roman" w:hAnsi="Times New Roman" w:cs="Times New Roman"/>
          <w:b/>
          <w:bCs/>
          <w:kern w:val="36"/>
          <w:sz w:val="48"/>
          <w:szCs w:val="48"/>
          <w:lang w:eastAsia="pl-PL"/>
        </w:rPr>
        <w:t>System bankowy</w:t>
      </w:r>
    </w:p>
    <w:p w14:paraId="0225EFB4"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Około 10 mln Polaków nie ma własnego mieszkania. Jeżeli postanowią je kupić, niezależnie od tego, czy zdecydują się na zaciągnięcie kredytu, czy – na oszczędzanie, staną przed koniecznością kontaktu z bankiem. Czy wiesz, jak w naszym kraju funkcjonuje system bankowy? Za pomocą jakich narzędzi bank centralny kształtuje podaż pieniądza na rynku finansowym i jaki ma to wpływ na decyzje banków oraz ich klientów?</w:t>
      </w:r>
    </w:p>
    <w:p w14:paraId="046973BB" w14:textId="77777777" w:rsidR="0055405F" w:rsidRPr="0055405F" w:rsidRDefault="0055405F" w:rsidP="0055405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55405F">
        <w:rPr>
          <w:rFonts w:ascii="Times New Roman" w:eastAsia="Times New Roman" w:hAnsi="Times New Roman" w:cs="Times New Roman"/>
          <w:b/>
          <w:bCs/>
          <w:sz w:val="27"/>
          <w:szCs w:val="27"/>
          <w:lang w:eastAsia="pl-PL"/>
        </w:rPr>
        <w:t>Zarys historii systemów bankowych</w:t>
      </w:r>
    </w:p>
    <w:p w14:paraId="5C898E46"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 xml:space="preserve">Za kolebkę nowożytnego systemu bankowego uważa się średniowieczne Włochy. Świadczyć o tym może sam wyraz </w:t>
      </w:r>
      <w:r w:rsidRPr="0055405F">
        <w:rPr>
          <w:rFonts w:ascii="Times New Roman" w:eastAsia="Times New Roman" w:hAnsi="Times New Roman" w:cs="Times New Roman"/>
          <w:i/>
          <w:iCs/>
          <w:sz w:val="24"/>
          <w:szCs w:val="24"/>
          <w:lang w:eastAsia="pl-PL"/>
        </w:rPr>
        <w:t>bank</w:t>
      </w:r>
      <w:r w:rsidRPr="0055405F">
        <w:rPr>
          <w:rFonts w:ascii="Times New Roman" w:eastAsia="Times New Roman" w:hAnsi="Times New Roman" w:cs="Times New Roman"/>
          <w:sz w:val="24"/>
          <w:szCs w:val="24"/>
          <w:lang w:eastAsia="pl-PL"/>
        </w:rPr>
        <w:t xml:space="preserve">, wywodzący się od włoskiego wyrazu </w:t>
      </w:r>
      <w:proofErr w:type="spellStart"/>
      <w:r w:rsidRPr="0055405F">
        <w:rPr>
          <w:rFonts w:ascii="Times New Roman" w:eastAsia="Times New Roman" w:hAnsi="Times New Roman" w:cs="Times New Roman"/>
          <w:i/>
          <w:iCs/>
          <w:sz w:val="24"/>
          <w:szCs w:val="24"/>
          <w:lang w:eastAsia="pl-PL"/>
        </w:rPr>
        <w:t>banca</w:t>
      </w:r>
      <w:proofErr w:type="spellEnd"/>
      <w:r w:rsidRPr="0055405F">
        <w:rPr>
          <w:rFonts w:ascii="Times New Roman" w:eastAsia="Times New Roman" w:hAnsi="Times New Roman" w:cs="Times New Roman"/>
          <w:sz w:val="24"/>
          <w:szCs w:val="24"/>
          <w:lang w:eastAsia="pl-PL"/>
        </w:rPr>
        <w:t xml:space="preserve">, oznaczającego ławę lub kontuar, przy których dokonywano transakcji finansowych. Transakcje te polegały na przyjmowaniu pieniędzy od kupców i wystawianiu za nie </w:t>
      </w:r>
      <w:r w:rsidRPr="0055405F">
        <w:rPr>
          <w:rFonts w:ascii="Times New Roman" w:eastAsia="Times New Roman" w:hAnsi="Times New Roman" w:cs="Times New Roman"/>
          <w:b/>
          <w:bCs/>
          <w:sz w:val="24"/>
          <w:szCs w:val="24"/>
          <w:lang w:eastAsia="pl-PL"/>
        </w:rPr>
        <w:t>weksli</w:t>
      </w:r>
      <w:r w:rsidRPr="0055405F">
        <w:rPr>
          <w:rFonts w:ascii="Times New Roman" w:eastAsia="Times New Roman" w:hAnsi="Times New Roman" w:cs="Times New Roman"/>
          <w:sz w:val="24"/>
          <w:szCs w:val="24"/>
          <w:lang w:eastAsia="pl-PL"/>
        </w:rPr>
        <w:t>. Były to dokumenty, w których wystawca (bądź wskazana przez niego osoba) zobowiązywał się do zapłacenia określonej sumy pieniężnej w wyznaczonym terminie na rzecz danego kupca (remitenta [Osoba, na rzecz której ma być wypłacone zobowiązanie z weksla lub z czeku]). Weksle można było zrealizować w innych bankach lub posługiwać się nimi w dalszych rozliczeniach.</w:t>
      </w:r>
    </w:p>
    <w:p w14:paraId="2423ECE3"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 xml:space="preserve">System ten, mający na celu ułatwienie obrotu pieniężnego i poprawę bezpieczeństwa, przyczynił się nie tylko do powstania </w:t>
      </w:r>
      <w:r w:rsidRPr="0055405F">
        <w:rPr>
          <w:rFonts w:ascii="Times New Roman" w:eastAsia="Times New Roman" w:hAnsi="Times New Roman" w:cs="Times New Roman"/>
          <w:b/>
          <w:bCs/>
          <w:sz w:val="24"/>
          <w:szCs w:val="24"/>
          <w:lang w:eastAsia="pl-PL"/>
        </w:rPr>
        <w:t xml:space="preserve">banków </w:t>
      </w:r>
      <w:r w:rsidRPr="0055405F">
        <w:rPr>
          <w:rFonts w:ascii="Times New Roman" w:eastAsia="Times New Roman" w:hAnsi="Times New Roman" w:cs="Times New Roman"/>
          <w:sz w:val="24"/>
          <w:szCs w:val="24"/>
          <w:lang w:eastAsia="pl-PL"/>
        </w:rPr>
        <w:t xml:space="preserve">[Bank to jednostka, która wykonuje działalność gospodarczą, polegającą gównie na przyjmowaniu pieniędzy (depozytów i lokat), udzielaniu kredytów oraz wykonywaniu innych czynności określonych przepisami </w:t>
      </w:r>
      <w:r w:rsidRPr="0055405F">
        <w:rPr>
          <w:rFonts w:ascii="Times New Roman" w:eastAsia="Times New Roman" w:hAnsi="Times New Roman" w:cs="Times New Roman"/>
          <w:i/>
          <w:iCs/>
          <w:sz w:val="24"/>
          <w:szCs w:val="24"/>
          <w:lang w:eastAsia="pl-PL"/>
        </w:rPr>
        <w:t>Ustawy z dnia 26 lutego 1982 r. Prawo bankowe</w:t>
      </w:r>
      <w:r w:rsidRPr="0055405F">
        <w:rPr>
          <w:rFonts w:ascii="Times New Roman" w:eastAsia="Times New Roman" w:hAnsi="Times New Roman" w:cs="Times New Roman"/>
          <w:sz w:val="24"/>
          <w:szCs w:val="24"/>
          <w:lang w:eastAsia="pl-PL"/>
        </w:rPr>
        <w:t>.],</w:t>
      </w:r>
      <w:r w:rsidRPr="0055405F">
        <w:rPr>
          <w:rFonts w:ascii="Times New Roman" w:eastAsia="Times New Roman" w:hAnsi="Times New Roman" w:cs="Times New Roman"/>
          <w:b/>
          <w:bCs/>
          <w:sz w:val="24"/>
          <w:szCs w:val="24"/>
          <w:lang w:eastAsia="pl-PL"/>
        </w:rPr>
        <w:t xml:space="preserve"> bankierów </w:t>
      </w:r>
      <w:r w:rsidRPr="0055405F">
        <w:rPr>
          <w:rFonts w:ascii="Times New Roman" w:eastAsia="Times New Roman" w:hAnsi="Times New Roman" w:cs="Times New Roman"/>
          <w:sz w:val="24"/>
          <w:szCs w:val="24"/>
          <w:lang w:eastAsia="pl-PL"/>
        </w:rPr>
        <w:t>i</w:t>
      </w:r>
      <w:r w:rsidRPr="0055405F">
        <w:rPr>
          <w:rFonts w:ascii="Times New Roman" w:eastAsia="Times New Roman" w:hAnsi="Times New Roman" w:cs="Times New Roman"/>
          <w:b/>
          <w:bCs/>
          <w:sz w:val="24"/>
          <w:szCs w:val="24"/>
          <w:lang w:eastAsia="pl-PL"/>
        </w:rPr>
        <w:t xml:space="preserve"> banknotów</w:t>
      </w:r>
      <w:r w:rsidRPr="0055405F">
        <w:rPr>
          <w:rFonts w:ascii="Times New Roman" w:eastAsia="Times New Roman" w:hAnsi="Times New Roman" w:cs="Times New Roman"/>
          <w:sz w:val="24"/>
          <w:szCs w:val="24"/>
          <w:lang w:eastAsia="pl-PL"/>
        </w:rPr>
        <w:t xml:space="preserve">, lecz również, na przekór powiedzeniu: „Pewne jak w banku”, do pojawienia się bankrutów i bankructw. Właśnie upadki banków będących własnością prywatną sprawiły, że od początku XV w. zaczęły powstawać banki w formie </w:t>
      </w:r>
      <w:r w:rsidRPr="0055405F">
        <w:rPr>
          <w:rFonts w:ascii="Times New Roman" w:eastAsia="Times New Roman" w:hAnsi="Times New Roman" w:cs="Times New Roman"/>
          <w:b/>
          <w:bCs/>
          <w:sz w:val="24"/>
          <w:szCs w:val="24"/>
          <w:lang w:eastAsia="pl-PL"/>
        </w:rPr>
        <w:t>spółek akcyjnych</w:t>
      </w:r>
      <w:r w:rsidRPr="0055405F">
        <w:rPr>
          <w:rFonts w:ascii="Times New Roman" w:eastAsia="Times New Roman" w:hAnsi="Times New Roman" w:cs="Times New Roman"/>
          <w:sz w:val="24"/>
          <w:szCs w:val="24"/>
          <w:lang w:eastAsia="pl-PL"/>
        </w:rPr>
        <w:t xml:space="preserve">, mających na celu lepszą ochronę powierzonego kapitału. Spółka akcyjna to spółka kapitałowa, utworzona w rezultacie zgromadzenia przez wspólników kapitału akcyjnego, dzielącego się na akcje. W związku z kosztami ochrony powierzonego majątku banki zaczęły zajmować się przechowywaniem pieniędzy bardziej profesjonalnie i na większą skalę. Pozwoliło to na uzyskanie dodatkowych korzyści w postaci oprocentowania </w:t>
      </w:r>
      <w:r w:rsidRPr="0055405F">
        <w:rPr>
          <w:rFonts w:ascii="Times New Roman" w:eastAsia="Times New Roman" w:hAnsi="Times New Roman" w:cs="Times New Roman"/>
          <w:b/>
          <w:bCs/>
          <w:sz w:val="24"/>
          <w:szCs w:val="24"/>
          <w:lang w:eastAsia="pl-PL"/>
        </w:rPr>
        <w:t xml:space="preserve">lokat bankowych </w:t>
      </w:r>
      <w:r w:rsidRPr="0055405F">
        <w:rPr>
          <w:rFonts w:ascii="Times New Roman" w:eastAsia="Times New Roman" w:hAnsi="Times New Roman" w:cs="Times New Roman"/>
          <w:sz w:val="24"/>
          <w:szCs w:val="24"/>
          <w:lang w:eastAsia="pl-PL"/>
        </w:rPr>
        <w:t xml:space="preserve">[Lokata bankowa to inaczej depozyt bankowy, czyli suma pieniędzy, którą klient na podstawie umowy przekazuje w depozyt wybranemu bankowi.]. Natomiast właściciele banków zarabiali (i zarabiają dalej), udzielając </w:t>
      </w:r>
      <w:r w:rsidRPr="0055405F">
        <w:rPr>
          <w:rFonts w:ascii="Times New Roman" w:eastAsia="Times New Roman" w:hAnsi="Times New Roman" w:cs="Times New Roman"/>
          <w:b/>
          <w:bCs/>
          <w:sz w:val="24"/>
          <w:szCs w:val="24"/>
          <w:lang w:eastAsia="pl-PL"/>
        </w:rPr>
        <w:t>kredytów</w:t>
      </w:r>
      <w:r w:rsidRPr="0055405F">
        <w:rPr>
          <w:rFonts w:ascii="Times New Roman" w:eastAsia="Times New Roman" w:hAnsi="Times New Roman" w:cs="Times New Roman"/>
          <w:sz w:val="24"/>
          <w:szCs w:val="24"/>
          <w:lang w:eastAsia="pl-PL"/>
        </w:rPr>
        <w:t>, czyli</w:t>
      </w:r>
      <w:r w:rsidRPr="0055405F">
        <w:rPr>
          <w:rFonts w:ascii="Times New Roman" w:eastAsia="Times New Roman" w:hAnsi="Times New Roman" w:cs="Times New Roman"/>
          <w:b/>
          <w:bCs/>
          <w:sz w:val="24"/>
          <w:szCs w:val="24"/>
          <w:lang w:eastAsia="pl-PL"/>
        </w:rPr>
        <w:t xml:space="preserve"> </w:t>
      </w:r>
      <w:r w:rsidRPr="0055405F">
        <w:rPr>
          <w:rFonts w:ascii="Times New Roman" w:eastAsia="Times New Roman" w:hAnsi="Times New Roman" w:cs="Times New Roman"/>
          <w:sz w:val="24"/>
          <w:szCs w:val="24"/>
          <w:lang w:eastAsia="pl-PL"/>
        </w:rPr>
        <w:t>pożyczając na procent powierzone im pieniądze.</w:t>
      </w:r>
    </w:p>
    <w:p w14:paraId="11438660"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noProof/>
          <w:sz w:val="24"/>
          <w:szCs w:val="24"/>
          <w:lang w:eastAsia="pl-PL"/>
        </w:rPr>
        <w:lastRenderedPageBreak/>
        <w:drawing>
          <wp:inline distT="0" distB="0" distL="0" distR="0" wp14:anchorId="07DC9A89" wp14:editId="306FB7EA">
            <wp:extent cx="6098400" cy="306000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8400" cy="3060000"/>
                    </a:xfrm>
                    <a:prstGeom prst="rect">
                      <a:avLst/>
                    </a:prstGeom>
                    <a:noFill/>
                    <a:ln>
                      <a:noFill/>
                    </a:ln>
                  </pic:spPr>
                </pic:pic>
              </a:graphicData>
            </a:graphic>
          </wp:inline>
        </w:drawing>
      </w:r>
    </w:p>
    <w:p w14:paraId="6686D668"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Rycina 3.6. Schemat działania systemu bankowego. Tym, co napędza system bankowy (stymuluje usługi banku), są zarówno osoby, które posiadają nadwyżki finansowe i chcą je z ulokować tak, by osiągnąć zysk (czyli na lokacie), jak i osoby, którym potrzebne są pieniądze (osoby zaciągające kredyty). System bankowy jest więc napędzany przez przepływ pieniędzy (waluty). W zależności od sytuacji gospodarczej i decyzji podjętych przez klientów banków skutkami uczestnictwa w systemie mogą być zarówno zysk, jak i strata pieniędzy. Dlatego, podejmując decyzje związane z usługami bankowymi, należy opierać się na obiektywnej i całościowej ocenie własnej sytuacji finansowej.</w:t>
      </w:r>
    </w:p>
    <w:p w14:paraId="5DDC4333"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 xml:space="preserve">Dalszy rozwój handlu, powstanie rynku kapitałowego i rozwój techniki przyczyniły się do ewolucji banków i powstania różnych instytucji finansowych. Na początku XX w. upaństwowiono </w:t>
      </w:r>
      <w:r w:rsidRPr="0055405F">
        <w:rPr>
          <w:rFonts w:ascii="Times New Roman" w:eastAsia="Times New Roman" w:hAnsi="Times New Roman" w:cs="Times New Roman"/>
          <w:b/>
          <w:bCs/>
          <w:sz w:val="24"/>
          <w:szCs w:val="24"/>
          <w:lang w:eastAsia="pl-PL"/>
        </w:rPr>
        <w:t>banki centralne</w:t>
      </w:r>
      <w:r w:rsidRPr="0055405F">
        <w:rPr>
          <w:rFonts w:ascii="Times New Roman" w:eastAsia="Times New Roman" w:hAnsi="Times New Roman" w:cs="Times New Roman"/>
          <w:sz w:val="24"/>
          <w:szCs w:val="24"/>
          <w:lang w:eastAsia="pl-PL"/>
        </w:rPr>
        <w:t xml:space="preserve">, dzięki czemu utworzył się współczesny dwupoziomowy układ bankowy z bankiem centralnym (narodowym) jako pierwszym poziomem oraz </w:t>
      </w:r>
      <w:r w:rsidRPr="0055405F">
        <w:rPr>
          <w:rFonts w:ascii="Times New Roman" w:eastAsia="Times New Roman" w:hAnsi="Times New Roman" w:cs="Times New Roman"/>
          <w:b/>
          <w:bCs/>
          <w:sz w:val="24"/>
          <w:szCs w:val="24"/>
          <w:lang w:eastAsia="pl-PL"/>
        </w:rPr>
        <w:t>bankami komercyjnymi</w:t>
      </w:r>
      <w:r w:rsidRPr="0055405F">
        <w:rPr>
          <w:rFonts w:ascii="Times New Roman" w:eastAsia="Times New Roman" w:hAnsi="Times New Roman" w:cs="Times New Roman"/>
          <w:sz w:val="24"/>
          <w:szCs w:val="24"/>
          <w:lang w:eastAsia="pl-PL"/>
        </w:rPr>
        <w:t>, stanowiącymi drugi poziom systemu.</w:t>
      </w:r>
    </w:p>
    <w:p w14:paraId="660AD930"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 xml:space="preserve">Wygoda kupców i rozwój gospodarczy oparty głównie na rynku finansowym doprowadziły do stworzenia </w:t>
      </w:r>
      <w:r w:rsidRPr="0055405F">
        <w:rPr>
          <w:rFonts w:ascii="Times New Roman" w:eastAsia="Times New Roman" w:hAnsi="Times New Roman" w:cs="Times New Roman"/>
          <w:b/>
          <w:bCs/>
          <w:sz w:val="24"/>
          <w:szCs w:val="24"/>
          <w:lang w:eastAsia="pl-PL"/>
        </w:rPr>
        <w:t>globalnego systemu bankowego</w:t>
      </w:r>
      <w:r w:rsidRPr="0055405F">
        <w:rPr>
          <w:rFonts w:ascii="Times New Roman" w:eastAsia="Times New Roman" w:hAnsi="Times New Roman" w:cs="Times New Roman"/>
          <w:sz w:val="24"/>
          <w:szCs w:val="24"/>
          <w:lang w:eastAsia="pl-PL"/>
        </w:rPr>
        <w:t>, w którym jest zgromadzona znacząca część światowego majątku. System ten zazwyczaj definiuje się jako całość instytucji bankowych i zasad określających wzajemne związki i zależności pomiędzy systemem a jego otoczeniem. Stopień instytucjonalizacji i globalizacji rynku pieniądza jest zależny przede wszystkim od stopnia rozwoju gospodarczego państwa. Warunkami rozwoju globalnego systemu bankowego są przy tym odpowiedni rozwój samych banków i rynków finansowych oraz ustalenie stałych reguł funkcjonowania systemu.</w:t>
      </w:r>
    </w:p>
    <w:p w14:paraId="493AE239"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noProof/>
          <w:sz w:val="24"/>
          <w:szCs w:val="24"/>
          <w:lang w:eastAsia="pl-PL"/>
        </w:rPr>
        <w:lastRenderedPageBreak/>
        <w:drawing>
          <wp:inline distT="0" distB="0" distL="0" distR="0" wp14:anchorId="52CC32D6" wp14:editId="76AEF165">
            <wp:extent cx="6094800" cy="2894400"/>
            <wp:effectExtent l="0" t="0" r="1270"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4800" cy="2894400"/>
                    </a:xfrm>
                    <a:prstGeom prst="rect">
                      <a:avLst/>
                    </a:prstGeom>
                    <a:noFill/>
                    <a:ln>
                      <a:noFill/>
                    </a:ln>
                  </pic:spPr>
                </pic:pic>
              </a:graphicData>
            </a:graphic>
          </wp:inline>
        </w:drawing>
      </w:r>
    </w:p>
    <w:p w14:paraId="73059219"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 xml:space="preserve">Rycina 3.7. Rozwój systemu bankowego w zależności od poziomu PKB </w:t>
      </w:r>
      <w:r w:rsidRPr="0055405F">
        <w:rPr>
          <w:rFonts w:ascii="Times New Roman" w:eastAsia="Times New Roman" w:hAnsi="Times New Roman" w:cs="Times New Roman"/>
          <w:i/>
          <w:iCs/>
          <w:sz w:val="24"/>
          <w:szCs w:val="24"/>
          <w:lang w:eastAsia="pl-PL"/>
        </w:rPr>
        <w:t>per capita</w:t>
      </w:r>
      <w:r w:rsidRPr="0055405F">
        <w:rPr>
          <w:rFonts w:ascii="Times New Roman" w:eastAsia="Times New Roman" w:hAnsi="Times New Roman" w:cs="Times New Roman"/>
          <w:sz w:val="24"/>
          <w:szCs w:val="24"/>
          <w:lang w:eastAsia="pl-PL"/>
        </w:rPr>
        <w:t xml:space="preserve"> [odsyłacz do rozdziału 2.6] w latach 1991–2012. Na podstawie wykreślonej funkcji liniowej, opartej na wybranych wskaźnikach rozwoju systemu bankowego w 209 krajach, można zauważyć zależność pomiędzy rozwojem usług bankowych a rozwojem gospodarczym kraju. Jest to związane zarówno z większą zamożnością obywateli (istnienie nadwyżek finansowych), jak i z większą ilością przepływu gotówki (zakupy, inwestycje).</w:t>
      </w:r>
    </w:p>
    <w:p w14:paraId="37C2D0C7"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System bankowy, ponieważ wpływa na rynek pieniężny, odgrywa ważną rolę w polityce społeczno-</w:t>
      </w:r>
      <w:r w:rsidRPr="0055405F">
        <w:rPr>
          <w:rFonts w:ascii="Times New Roman" w:eastAsia="Times New Roman" w:hAnsi="Times New Roman" w:cs="Times New Roman"/>
          <w:sz w:val="24"/>
          <w:szCs w:val="24"/>
          <w:lang w:eastAsia="pl-PL"/>
        </w:rPr>
        <w:br/>
        <w:t>-gospodarczej kraju. Do funkcji tego systemu należą:</w:t>
      </w:r>
    </w:p>
    <w:p w14:paraId="47D03A55" w14:textId="77777777" w:rsidR="0055405F" w:rsidRPr="0055405F" w:rsidRDefault="0055405F" w:rsidP="0055405F">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kształtowanie emisji pieniądza i kredytu, wpływające na sprawne funkcjonowanie gospodarki,</w:t>
      </w:r>
    </w:p>
    <w:p w14:paraId="1A5AB921" w14:textId="77777777" w:rsidR="0055405F" w:rsidRPr="0055405F" w:rsidRDefault="0055405F" w:rsidP="0055405F">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gromadzenie wolnych środków finansowych i wpływ na ich efektywną alokację,</w:t>
      </w:r>
    </w:p>
    <w:p w14:paraId="257CF032" w14:textId="77777777" w:rsidR="0055405F" w:rsidRPr="0055405F" w:rsidRDefault="0055405F" w:rsidP="0055405F">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wspomaganie działalności gospodarczej i inicjatyw gospodarczych.</w:t>
      </w:r>
    </w:p>
    <w:p w14:paraId="45177366" w14:textId="77777777" w:rsidR="0055405F" w:rsidRPr="0055405F" w:rsidRDefault="0055405F" w:rsidP="0055405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55405F">
        <w:rPr>
          <w:rFonts w:ascii="Times New Roman" w:eastAsia="Times New Roman" w:hAnsi="Times New Roman" w:cs="Times New Roman"/>
          <w:b/>
          <w:bCs/>
          <w:sz w:val="27"/>
          <w:szCs w:val="27"/>
          <w:lang w:eastAsia="pl-PL"/>
        </w:rPr>
        <w:t>System bankowy w Polsce</w:t>
      </w:r>
    </w:p>
    <w:p w14:paraId="2FB2E39A"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 xml:space="preserve">W Polsce system bankowy został dostosowany do warunków gospodarki rynkowej wraz z wprowadzeniem </w:t>
      </w:r>
      <w:r w:rsidRPr="0055405F">
        <w:rPr>
          <w:rFonts w:ascii="Times New Roman" w:eastAsia="Times New Roman" w:hAnsi="Times New Roman" w:cs="Times New Roman"/>
          <w:i/>
          <w:iCs/>
          <w:sz w:val="24"/>
          <w:szCs w:val="24"/>
          <w:lang w:eastAsia="pl-PL"/>
        </w:rPr>
        <w:t>Ustawy z dnia 26 lutego 1982 r. Prawo bankowe</w:t>
      </w:r>
      <w:r w:rsidRPr="0055405F">
        <w:rPr>
          <w:rFonts w:ascii="Times New Roman" w:eastAsia="Times New Roman" w:hAnsi="Times New Roman" w:cs="Times New Roman"/>
          <w:sz w:val="24"/>
          <w:szCs w:val="24"/>
          <w:lang w:eastAsia="pl-PL"/>
        </w:rPr>
        <w:t>. Obecna struktura systemu bankowego wynika z jej nowelizacji dokonanej w 1989 r. (</w:t>
      </w:r>
      <w:proofErr w:type="spellStart"/>
      <w:r w:rsidRPr="0055405F">
        <w:rPr>
          <w:rFonts w:ascii="Times New Roman" w:eastAsia="Times New Roman" w:hAnsi="Times New Roman" w:cs="Times New Roman"/>
          <w:sz w:val="24"/>
          <w:szCs w:val="24"/>
          <w:lang w:eastAsia="pl-PL"/>
        </w:rPr>
        <w:t>DzU</w:t>
      </w:r>
      <w:proofErr w:type="spellEnd"/>
      <w:r w:rsidRPr="0055405F">
        <w:rPr>
          <w:rFonts w:ascii="Times New Roman" w:eastAsia="Times New Roman" w:hAnsi="Times New Roman" w:cs="Times New Roman"/>
          <w:sz w:val="24"/>
          <w:szCs w:val="24"/>
          <w:lang w:eastAsia="pl-PL"/>
        </w:rPr>
        <w:t xml:space="preserve"> 1989 nr 4, poz. 21). Na mocy znowelizowanej ustawy powstał model </w:t>
      </w:r>
      <w:r w:rsidRPr="0055405F">
        <w:rPr>
          <w:rFonts w:ascii="Times New Roman" w:eastAsia="Times New Roman" w:hAnsi="Times New Roman" w:cs="Times New Roman"/>
          <w:b/>
          <w:bCs/>
          <w:sz w:val="24"/>
          <w:szCs w:val="24"/>
          <w:lang w:eastAsia="pl-PL"/>
        </w:rPr>
        <w:t>banku uniwersalnego</w:t>
      </w:r>
      <w:r w:rsidRPr="0055405F">
        <w:rPr>
          <w:rFonts w:ascii="Times New Roman" w:eastAsia="Times New Roman" w:hAnsi="Times New Roman" w:cs="Times New Roman"/>
          <w:sz w:val="24"/>
          <w:szCs w:val="24"/>
          <w:lang w:eastAsia="pl-PL"/>
        </w:rPr>
        <w:t>. Jest bank, który nie jest ograniczony co do rodzaju oferowanych usług i ma pełną wolność działań na rynkach finansowych.</w:t>
      </w:r>
    </w:p>
    <w:p w14:paraId="7CD252B9"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 xml:space="preserve">Struktura systemu bankowego w Polsce jest </w:t>
      </w:r>
      <w:r w:rsidRPr="0055405F">
        <w:rPr>
          <w:rFonts w:ascii="Times New Roman" w:eastAsia="Times New Roman" w:hAnsi="Times New Roman" w:cs="Times New Roman"/>
          <w:b/>
          <w:bCs/>
          <w:sz w:val="24"/>
          <w:szCs w:val="24"/>
          <w:lang w:eastAsia="pl-PL"/>
        </w:rPr>
        <w:t>dwuszczeblowa</w:t>
      </w:r>
      <w:r w:rsidRPr="0055405F">
        <w:rPr>
          <w:rFonts w:ascii="Times New Roman" w:eastAsia="Times New Roman" w:hAnsi="Times New Roman" w:cs="Times New Roman"/>
          <w:sz w:val="24"/>
          <w:szCs w:val="24"/>
          <w:lang w:eastAsia="pl-PL"/>
        </w:rPr>
        <w:t xml:space="preserve">. Tworzą ją: bank centralny, którym jest </w:t>
      </w:r>
      <w:r w:rsidRPr="0055405F">
        <w:rPr>
          <w:rFonts w:ascii="Times New Roman" w:eastAsia="Times New Roman" w:hAnsi="Times New Roman" w:cs="Times New Roman"/>
          <w:b/>
          <w:bCs/>
          <w:sz w:val="24"/>
          <w:szCs w:val="24"/>
          <w:lang w:eastAsia="pl-PL"/>
        </w:rPr>
        <w:t>Narodowy Bank Polski</w:t>
      </w:r>
      <w:r w:rsidRPr="0055405F">
        <w:rPr>
          <w:rFonts w:ascii="Times New Roman" w:eastAsia="Times New Roman" w:hAnsi="Times New Roman" w:cs="Times New Roman"/>
          <w:sz w:val="24"/>
          <w:szCs w:val="24"/>
          <w:lang w:eastAsia="pl-PL"/>
        </w:rPr>
        <w:t xml:space="preserve"> (NBP), i </w:t>
      </w:r>
      <w:r w:rsidRPr="0055405F">
        <w:rPr>
          <w:rFonts w:ascii="Times New Roman" w:eastAsia="Times New Roman" w:hAnsi="Times New Roman" w:cs="Times New Roman"/>
          <w:b/>
          <w:bCs/>
          <w:sz w:val="24"/>
          <w:szCs w:val="24"/>
          <w:lang w:eastAsia="pl-PL"/>
        </w:rPr>
        <w:t>banki komercyjne</w:t>
      </w:r>
      <w:r w:rsidRPr="0055405F">
        <w:rPr>
          <w:rFonts w:ascii="Times New Roman" w:eastAsia="Times New Roman" w:hAnsi="Times New Roman" w:cs="Times New Roman"/>
          <w:sz w:val="24"/>
          <w:szCs w:val="24"/>
          <w:lang w:eastAsia="pl-PL"/>
        </w:rPr>
        <w:t xml:space="preserve">. Ponadto do elementów systemu bankowego w naszym kraju należą: sprawująca nadzór nad sektorem bankowym </w:t>
      </w:r>
      <w:r w:rsidRPr="0055405F">
        <w:rPr>
          <w:rFonts w:ascii="Times New Roman" w:eastAsia="Times New Roman" w:hAnsi="Times New Roman" w:cs="Times New Roman"/>
          <w:b/>
          <w:bCs/>
          <w:sz w:val="24"/>
          <w:szCs w:val="24"/>
          <w:lang w:eastAsia="pl-PL"/>
        </w:rPr>
        <w:t xml:space="preserve">Komisja Nadzoru Finansowego </w:t>
      </w:r>
      <w:r w:rsidRPr="0055405F">
        <w:rPr>
          <w:rFonts w:ascii="Times New Roman" w:eastAsia="Times New Roman" w:hAnsi="Times New Roman" w:cs="Times New Roman"/>
          <w:sz w:val="24"/>
          <w:szCs w:val="24"/>
          <w:lang w:eastAsia="pl-PL"/>
        </w:rPr>
        <w:t xml:space="preserve">(KNF) oraz instytucja gwarantująca wypłacalność depozytów polskich banków – </w:t>
      </w:r>
      <w:r w:rsidRPr="0055405F">
        <w:rPr>
          <w:rFonts w:ascii="Times New Roman" w:eastAsia="Times New Roman" w:hAnsi="Times New Roman" w:cs="Times New Roman"/>
          <w:b/>
          <w:bCs/>
          <w:sz w:val="24"/>
          <w:szCs w:val="24"/>
          <w:lang w:eastAsia="pl-PL"/>
        </w:rPr>
        <w:t>Bankowy Fundusz Gwarancyjny</w:t>
      </w:r>
      <w:r w:rsidRPr="0055405F">
        <w:rPr>
          <w:rFonts w:ascii="Times New Roman" w:eastAsia="Times New Roman" w:hAnsi="Times New Roman" w:cs="Times New Roman"/>
          <w:sz w:val="24"/>
          <w:szCs w:val="24"/>
          <w:lang w:eastAsia="pl-PL"/>
        </w:rPr>
        <w:t xml:space="preserve"> (BFG).</w:t>
      </w:r>
    </w:p>
    <w:p w14:paraId="2BBC83DC"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noProof/>
          <w:sz w:val="24"/>
          <w:szCs w:val="24"/>
          <w:lang w:eastAsia="pl-PL"/>
        </w:rPr>
        <w:lastRenderedPageBreak/>
        <w:drawing>
          <wp:inline distT="0" distB="0" distL="0" distR="0" wp14:anchorId="3870F155" wp14:editId="5D89487E">
            <wp:extent cx="6098400" cy="33804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8400" cy="3380400"/>
                    </a:xfrm>
                    <a:prstGeom prst="rect">
                      <a:avLst/>
                    </a:prstGeom>
                    <a:noFill/>
                    <a:ln>
                      <a:noFill/>
                    </a:ln>
                  </pic:spPr>
                </pic:pic>
              </a:graphicData>
            </a:graphic>
          </wp:inline>
        </w:drawing>
      </w:r>
    </w:p>
    <w:p w14:paraId="7A1B641D" w14:textId="77777777" w:rsidR="0055405F" w:rsidRPr="0055405F" w:rsidRDefault="0055405F" w:rsidP="0055405F">
      <w:pPr>
        <w:spacing w:before="100" w:beforeAutospacing="1" w:after="100" w:afterAutospacing="1" w:line="240" w:lineRule="auto"/>
        <w:rPr>
          <w:rFonts w:ascii="Times New Roman" w:eastAsia="Times New Roman" w:hAnsi="Times New Roman" w:cs="Times New Roman"/>
          <w:sz w:val="24"/>
          <w:szCs w:val="24"/>
          <w:lang w:eastAsia="pl-PL"/>
        </w:rPr>
      </w:pPr>
      <w:r w:rsidRPr="0055405F">
        <w:rPr>
          <w:rFonts w:ascii="Times New Roman" w:eastAsia="Times New Roman" w:hAnsi="Times New Roman" w:cs="Times New Roman"/>
          <w:sz w:val="24"/>
          <w:szCs w:val="24"/>
          <w:lang w:eastAsia="pl-PL"/>
        </w:rPr>
        <w:t>Rycina 3.8.   Liczba banków w Polsce w latach 1993–2012. Znaczącym procesem przemian polskiego systemu bankowego jest konsolidacja kapitałowa i organizacyjna banków (czyli łączenie się dwóch lub kilku banków ze względu na zwiększenie dzięki temu ich konkurencyjności na rynku bankowym). Wynika ona głównie ze słabości kapitałowej banków w Polsce, co uniemożliwia sprostanie wymogom rozwijającego się rynku (ograniczone możliwości kredytowe banków) i utrudnia dostosowanie do struktur europejskich. Dodatkowymi korzyściami wynikającymi z konsolidacji banków są m.in. redukcja kosztów działalności, poszerzenie zakresu oferowanych usług lub skuteczniejsze zarządzanie ryzykiem bankowym.</w:t>
      </w:r>
    </w:p>
    <w:p w14:paraId="6741A834" w14:textId="77777777" w:rsidR="008C1574" w:rsidRPr="008C1574" w:rsidRDefault="008C1574" w:rsidP="008C1574">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8C1574">
        <w:rPr>
          <w:rFonts w:ascii="Times New Roman" w:eastAsia="Times New Roman" w:hAnsi="Times New Roman" w:cs="Times New Roman"/>
          <w:b/>
          <w:bCs/>
          <w:kern w:val="36"/>
          <w:sz w:val="48"/>
          <w:szCs w:val="48"/>
          <w:lang w:eastAsia="pl-PL"/>
        </w:rPr>
        <w:t>Rodzaje banków i usług bankowych</w:t>
      </w:r>
    </w:p>
    <w:p w14:paraId="5CDEC36E"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 xml:space="preserve">Początki bankowości są związane z przechowywaniem pieniędzy, czyli </w:t>
      </w:r>
      <w:r w:rsidRPr="008C1574">
        <w:rPr>
          <w:rFonts w:ascii="Times New Roman" w:eastAsia="Times New Roman" w:hAnsi="Times New Roman" w:cs="Times New Roman"/>
          <w:b/>
          <w:bCs/>
          <w:sz w:val="24"/>
          <w:szCs w:val="24"/>
          <w:lang w:eastAsia="pl-PL"/>
        </w:rPr>
        <w:t>depozytem</w:t>
      </w:r>
      <w:r w:rsidRPr="008C1574">
        <w:rPr>
          <w:rFonts w:ascii="Times New Roman" w:eastAsia="Times New Roman" w:hAnsi="Times New Roman" w:cs="Times New Roman"/>
          <w:sz w:val="24"/>
          <w:szCs w:val="24"/>
          <w:lang w:eastAsia="pl-PL"/>
        </w:rPr>
        <w:t>. Współcześnie banki oferują szeroki zakres usług finansowych. Czy wiesz, jakie są to usługi? Czym jest lokata bankowa? Dlaczego lepiej trzymać pieniądze w banku niż pod materacem?</w:t>
      </w:r>
    </w:p>
    <w:p w14:paraId="68FC4C6B" w14:textId="77777777" w:rsidR="008C1574" w:rsidRPr="008C1574" w:rsidRDefault="008C1574" w:rsidP="008C1574">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8C1574">
        <w:rPr>
          <w:rFonts w:ascii="Times New Roman" w:eastAsia="Times New Roman" w:hAnsi="Times New Roman" w:cs="Times New Roman"/>
          <w:b/>
          <w:bCs/>
          <w:sz w:val="27"/>
          <w:szCs w:val="27"/>
          <w:lang w:eastAsia="pl-PL"/>
        </w:rPr>
        <w:t>Banki komercyjne</w:t>
      </w:r>
    </w:p>
    <w:p w14:paraId="320C8F92"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 xml:space="preserve">Drugi, po </w:t>
      </w:r>
      <w:r w:rsidRPr="008C1574">
        <w:rPr>
          <w:rFonts w:ascii="Times New Roman" w:eastAsia="Times New Roman" w:hAnsi="Times New Roman" w:cs="Times New Roman"/>
          <w:b/>
          <w:bCs/>
          <w:sz w:val="24"/>
          <w:szCs w:val="24"/>
          <w:lang w:eastAsia="pl-PL"/>
        </w:rPr>
        <w:t>banku centralnym</w:t>
      </w:r>
      <w:r w:rsidRPr="008C1574">
        <w:rPr>
          <w:rFonts w:ascii="Times New Roman" w:eastAsia="Times New Roman" w:hAnsi="Times New Roman" w:cs="Times New Roman"/>
          <w:sz w:val="24"/>
          <w:szCs w:val="24"/>
          <w:lang w:eastAsia="pl-PL"/>
        </w:rPr>
        <w:t xml:space="preserve">, szczebel systemu bankowego tworzą </w:t>
      </w:r>
      <w:r w:rsidRPr="008C1574">
        <w:rPr>
          <w:rFonts w:ascii="Times New Roman" w:eastAsia="Times New Roman" w:hAnsi="Times New Roman" w:cs="Times New Roman"/>
          <w:b/>
          <w:bCs/>
          <w:sz w:val="24"/>
          <w:szCs w:val="24"/>
          <w:lang w:eastAsia="pl-PL"/>
        </w:rPr>
        <w:t>banki komercyjne</w:t>
      </w:r>
      <w:r w:rsidRPr="008C1574">
        <w:rPr>
          <w:rFonts w:ascii="Times New Roman" w:eastAsia="Times New Roman" w:hAnsi="Times New Roman" w:cs="Times New Roman"/>
          <w:sz w:val="24"/>
          <w:szCs w:val="24"/>
          <w:lang w:eastAsia="pl-PL"/>
        </w:rPr>
        <w:t xml:space="preserve">. Większość z nich jest takimi sami przedsiębiorstwami nastawionymi na zysk, jak cukiernia, firma deweloperska czy fryzjer. Jedyną różnicą jest fakt, że </w:t>
      </w:r>
      <w:r w:rsidRPr="008C1574">
        <w:rPr>
          <w:rFonts w:ascii="Times New Roman" w:eastAsia="Times New Roman" w:hAnsi="Times New Roman" w:cs="Times New Roman"/>
          <w:b/>
          <w:bCs/>
          <w:sz w:val="24"/>
          <w:szCs w:val="24"/>
          <w:lang w:eastAsia="pl-PL"/>
        </w:rPr>
        <w:t>towarem oferowanym przez bank jest pieniądz</w:t>
      </w:r>
      <w:r w:rsidRPr="008C1574">
        <w:rPr>
          <w:rFonts w:ascii="Times New Roman" w:eastAsia="Times New Roman" w:hAnsi="Times New Roman" w:cs="Times New Roman"/>
          <w:sz w:val="24"/>
          <w:szCs w:val="24"/>
          <w:lang w:eastAsia="pl-PL"/>
        </w:rPr>
        <w:t xml:space="preserve">, za który płacimy również pieniędzmi. Tak więc banki działają na </w:t>
      </w:r>
      <w:r w:rsidRPr="008C1574">
        <w:rPr>
          <w:rFonts w:ascii="Times New Roman" w:eastAsia="Times New Roman" w:hAnsi="Times New Roman" w:cs="Times New Roman"/>
          <w:b/>
          <w:bCs/>
          <w:sz w:val="24"/>
          <w:szCs w:val="24"/>
          <w:lang w:eastAsia="pl-PL"/>
        </w:rPr>
        <w:t>rynku pieniężnym</w:t>
      </w:r>
      <w:r w:rsidRPr="008C1574">
        <w:rPr>
          <w:rFonts w:ascii="Times New Roman" w:eastAsia="Times New Roman" w:hAnsi="Times New Roman" w:cs="Times New Roman"/>
          <w:sz w:val="24"/>
          <w:szCs w:val="24"/>
          <w:lang w:eastAsia="pl-PL"/>
        </w:rPr>
        <w:t xml:space="preserve">, gdzie są zawierane transakcje, które od czasu wycofania pieniądza kruszcowego mają charakter niematerialny (ostatnimi banknotami wymienialnymi na złoto do 1971 r. były dolary amerykańskie). Podobnie jak w wypadku dóbr i usług konsumpcyjnych na rynku tym występują popyt i podaż. Z jednej strony są klienci dysponujący kapitałem, a z drugiej strony – osoby, które kapitału poszukują i są gotowe za niego zapłacić. Istotą działalności banku jest zatem </w:t>
      </w:r>
      <w:r w:rsidRPr="008C1574">
        <w:rPr>
          <w:rFonts w:ascii="Times New Roman" w:eastAsia="Times New Roman" w:hAnsi="Times New Roman" w:cs="Times New Roman"/>
          <w:b/>
          <w:bCs/>
          <w:sz w:val="24"/>
          <w:szCs w:val="24"/>
          <w:lang w:eastAsia="pl-PL"/>
        </w:rPr>
        <w:t>pośrednictwo w obrocie pieniędzmi</w:t>
      </w:r>
      <w:r w:rsidRPr="008C1574">
        <w:rPr>
          <w:rFonts w:ascii="Times New Roman" w:eastAsia="Times New Roman" w:hAnsi="Times New Roman" w:cs="Times New Roman"/>
          <w:sz w:val="24"/>
          <w:szCs w:val="24"/>
          <w:lang w:eastAsia="pl-PL"/>
        </w:rPr>
        <w:t>. Współcześnie banki poszerzyły jednak zakres oferowanych usług o segment ubezpieczeniowy czy rynek kapitałowy.</w:t>
      </w:r>
    </w:p>
    <w:p w14:paraId="26ECA0B1"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lastRenderedPageBreak/>
        <w:t>Aby założyć w Polsce akcyjną spółkę bankową, należy mieć kapitał w wysokości 5 mln euro, odpowiedni status, kadrę pracowniczą, siedzibę i infrastrukturę bankową. Trzeba też określić plan i celowość działania na najbliższe 3 lata.</w:t>
      </w:r>
    </w:p>
    <w:p w14:paraId="5EDD792B" w14:textId="77777777" w:rsidR="008C1574" w:rsidRPr="008C1574" w:rsidRDefault="008C1574" w:rsidP="008C1574">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8C1574">
        <w:rPr>
          <w:rFonts w:ascii="Times New Roman" w:eastAsia="Times New Roman" w:hAnsi="Times New Roman" w:cs="Times New Roman"/>
          <w:b/>
          <w:bCs/>
          <w:sz w:val="27"/>
          <w:szCs w:val="27"/>
          <w:lang w:eastAsia="pl-PL"/>
        </w:rPr>
        <w:t>Funkcje banków</w:t>
      </w:r>
    </w:p>
    <w:p w14:paraId="717E62C6"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Jak zostało wspomniane powyżej, banki są instytucjami komercyjnymi, dlatego głównym ich celem jest dążenie do maksymalizacji zysku. Drugim celem, wynikającym poniekąd z systemu prawnego obowiązującego w Polsce, jest zapewnienie bezpieczeństwa środków deponentów.</w:t>
      </w:r>
    </w:p>
    <w:p w14:paraId="18A0454F"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Banki komercyjne pełnią 3 podstawowe funkcje. Są to:</w:t>
      </w:r>
    </w:p>
    <w:p w14:paraId="578FB972" w14:textId="77777777" w:rsidR="008C1574" w:rsidRPr="008C1574" w:rsidRDefault="008C1574" w:rsidP="008C157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b/>
          <w:bCs/>
          <w:sz w:val="24"/>
          <w:szCs w:val="24"/>
          <w:lang w:eastAsia="pl-PL"/>
        </w:rPr>
        <w:t>funkcja kredytowa</w:t>
      </w:r>
      <w:r w:rsidRPr="008C1574">
        <w:rPr>
          <w:rFonts w:ascii="Times New Roman" w:eastAsia="Times New Roman" w:hAnsi="Times New Roman" w:cs="Times New Roman"/>
          <w:sz w:val="24"/>
          <w:szCs w:val="24"/>
          <w:lang w:eastAsia="pl-PL"/>
        </w:rPr>
        <w:t xml:space="preserve"> – udzielanie pożyczek i kredytów,</w:t>
      </w:r>
    </w:p>
    <w:p w14:paraId="3FCA2AC6" w14:textId="77777777" w:rsidR="008C1574" w:rsidRPr="008C1574" w:rsidRDefault="008C1574" w:rsidP="008C157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b/>
          <w:bCs/>
          <w:sz w:val="24"/>
          <w:szCs w:val="24"/>
          <w:lang w:eastAsia="pl-PL"/>
        </w:rPr>
        <w:t>funkcja pieniężna</w:t>
      </w:r>
      <w:r w:rsidRPr="008C1574">
        <w:rPr>
          <w:rFonts w:ascii="Times New Roman" w:eastAsia="Times New Roman" w:hAnsi="Times New Roman" w:cs="Times New Roman"/>
          <w:sz w:val="24"/>
          <w:szCs w:val="24"/>
          <w:lang w:eastAsia="pl-PL"/>
        </w:rPr>
        <w:t xml:space="preserve"> – tworzenie pieniądza bankowego,</w:t>
      </w:r>
    </w:p>
    <w:p w14:paraId="49D7B809" w14:textId="77777777" w:rsidR="008C1574" w:rsidRPr="008C1574" w:rsidRDefault="008C1574" w:rsidP="008C157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b/>
          <w:bCs/>
          <w:sz w:val="24"/>
          <w:szCs w:val="24"/>
          <w:lang w:eastAsia="pl-PL"/>
        </w:rPr>
        <w:t>funkcja lokacyjna</w:t>
      </w:r>
      <w:r w:rsidRPr="008C1574">
        <w:rPr>
          <w:rFonts w:ascii="Times New Roman" w:eastAsia="Times New Roman" w:hAnsi="Times New Roman" w:cs="Times New Roman"/>
          <w:sz w:val="24"/>
          <w:szCs w:val="24"/>
          <w:lang w:eastAsia="pl-PL"/>
        </w:rPr>
        <w:t xml:space="preserve"> – przyjmowanie oszczędności i rezerw.</w:t>
      </w:r>
    </w:p>
    <w:p w14:paraId="73BBFD65"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 xml:space="preserve">Spośród wielu usług bankowych tylko </w:t>
      </w:r>
      <w:r w:rsidRPr="008C1574">
        <w:rPr>
          <w:rFonts w:ascii="Times New Roman" w:eastAsia="Times New Roman" w:hAnsi="Times New Roman" w:cs="Times New Roman"/>
          <w:b/>
          <w:bCs/>
          <w:sz w:val="24"/>
          <w:szCs w:val="24"/>
          <w:lang w:eastAsia="pl-PL"/>
        </w:rPr>
        <w:t>udzielanie kredytów</w:t>
      </w:r>
      <w:r w:rsidRPr="008C1574">
        <w:rPr>
          <w:rFonts w:ascii="Times New Roman" w:eastAsia="Times New Roman" w:hAnsi="Times New Roman" w:cs="Times New Roman"/>
          <w:sz w:val="24"/>
          <w:szCs w:val="24"/>
          <w:lang w:eastAsia="pl-PL"/>
        </w:rPr>
        <w:t xml:space="preserve"> jest funkcją zastrzeżoną wyłącznie dla banków.</w:t>
      </w:r>
    </w:p>
    <w:p w14:paraId="0DF4FA84"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Operacje finansowe banków komercyjnych ze względu na przedmiot działania można podzielić na: czynne (aktywne), bierne (pasywne), pośredniczące (zlecone) i pozostałe.</w:t>
      </w:r>
    </w:p>
    <w:p w14:paraId="0A3B3FF2"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 xml:space="preserve">W ramach </w:t>
      </w:r>
      <w:r w:rsidRPr="008C1574">
        <w:rPr>
          <w:rFonts w:ascii="Times New Roman" w:eastAsia="Times New Roman" w:hAnsi="Times New Roman" w:cs="Times New Roman"/>
          <w:b/>
          <w:bCs/>
          <w:sz w:val="24"/>
          <w:szCs w:val="24"/>
          <w:lang w:eastAsia="pl-PL"/>
        </w:rPr>
        <w:t>operacji</w:t>
      </w:r>
      <w:r w:rsidRPr="008C1574">
        <w:rPr>
          <w:rFonts w:ascii="Times New Roman" w:eastAsia="Times New Roman" w:hAnsi="Times New Roman" w:cs="Times New Roman"/>
          <w:sz w:val="24"/>
          <w:szCs w:val="24"/>
          <w:lang w:eastAsia="pl-PL"/>
        </w:rPr>
        <w:t xml:space="preserve"> </w:t>
      </w:r>
      <w:r w:rsidRPr="008C1574">
        <w:rPr>
          <w:rFonts w:ascii="Times New Roman" w:eastAsia="Times New Roman" w:hAnsi="Times New Roman" w:cs="Times New Roman"/>
          <w:b/>
          <w:bCs/>
          <w:sz w:val="24"/>
          <w:szCs w:val="24"/>
          <w:lang w:eastAsia="pl-PL"/>
        </w:rPr>
        <w:t>czynnych</w:t>
      </w:r>
      <w:r w:rsidRPr="008C1574">
        <w:rPr>
          <w:rFonts w:ascii="Times New Roman" w:eastAsia="Times New Roman" w:hAnsi="Times New Roman" w:cs="Times New Roman"/>
          <w:sz w:val="24"/>
          <w:szCs w:val="24"/>
          <w:lang w:eastAsia="pl-PL"/>
        </w:rPr>
        <w:t xml:space="preserve"> bank udziela kredytów, lokuje pieniądze na rynku międzybankowym oraz kupuje papiery wartościowe. Działania te mają na celu zwiększenie dochodu banku przez pobieranie opłat wynikających z oprocentowania i prowizji.</w:t>
      </w:r>
    </w:p>
    <w:p w14:paraId="1E10DDEA"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b/>
          <w:bCs/>
          <w:sz w:val="24"/>
          <w:szCs w:val="24"/>
          <w:lang w:eastAsia="pl-PL"/>
        </w:rPr>
        <w:t>Operacje</w:t>
      </w:r>
      <w:r w:rsidRPr="008C1574">
        <w:rPr>
          <w:rFonts w:ascii="Times New Roman" w:eastAsia="Times New Roman" w:hAnsi="Times New Roman" w:cs="Times New Roman"/>
          <w:sz w:val="24"/>
          <w:szCs w:val="24"/>
          <w:lang w:eastAsia="pl-PL"/>
        </w:rPr>
        <w:t xml:space="preserve"> </w:t>
      </w:r>
      <w:r w:rsidRPr="008C1574">
        <w:rPr>
          <w:rFonts w:ascii="Times New Roman" w:eastAsia="Times New Roman" w:hAnsi="Times New Roman" w:cs="Times New Roman"/>
          <w:b/>
          <w:bCs/>
          <w:sz w:val="24"/>
          <w:szCs w:val="24"/>
          <w:lang w:eastAsia="pl-PL"/>
        </w:rPr>
        <w:t>bierne</w:t>
      </w:r>
      <w:r w:rsidRPr="008C1574">
        <w:rPr>
          <w:rFonts w:ascii="Times New Roman" w:eastAsia="Times New Roman" w:hAnsi="Times New Roman" w:cs="Times New Roman"/>
          <w:sz w:val="24"/>
          <w:szCs w:val="24"/>
          <w:lang w:eastAsia="pl-PL"/>
        </w:rPr>
        <w:t xml:space="preserve"> to przede wszystkim działalność depozytowa banków. Banki gromadzą depozyty klientów, zaciągają pożyczki na rynku międzybankowym oraz emitują obligacje bankowe. Operacje te mają na celu pozyskanie środków pieniężnych służących bankom do przeprowadzania operacji aktywnych.</w:t>
      </w:r>
    </w:p>
    <w:p w14:paraId="081E19ED"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b/>
          <w:bCs/>
          <w:sz w:val="24"/>
          <w:szCs w:val="24"/>
          <w:lang w:eastAsia="pl-PL"/>
        </w:rPr>
        <w:t>Operacje</w:t>
      </w:r>
      <w:r w:rsidRPr="008C1574">
        <w:rPr>
          <w:rFonts w:ascii="Times New Roman" w:eastAsia="Times New Roman" w:hAnsi="Times New Roman" w:cs="Times New Roman"/>
          <w:sz w:val="24"/>
          <w:szCs w:val="24"/>
          <w:lang w:eastAsia="pl-PL"/>
        </w:rPr>
        <w:t xml:space="preserve"> </w:t>
      </w:r>
      <w:r w:rsidRPr="008C1574">
        <w:rPr>
          <w:rFonts w:ascii="Times New Roman" w:eastAsia="Times New Roman" w:hAnsi="Times New Roman" w:cs="Times New Roman"/>
          <w:b/>
          <w:bCs/>
          <w:sz w:val="24"/>
          <w:szCs w:val="24"/>
          <w:lang w:eastAsia="pl-PL"/>
        </w:rPr>
        <w:t>pośredniczące</w:t>
      </w:r>
      <w:r w:rsidRPr="008C1574">
        <w:rPr>
          <w:rFonts w:ascii="Times New Roman" w:eastAsia="Times New Roman" w:hAnsi="Times New Roman" w:cs="Times New Roman"/>
          <w:sz w:val="24"/>
          <w:szCs w:val="24"/>
          <w:lang w:eastAsia="pl-PL"/>
        </w:rPr>
        <w:t xml:space="preserve"> bank wykonuje na zlecenie swoich klientów (zjawisko synergii). Do operacji tych należą m.in. rozliczenia pieniężne, obrót papierami wartościowymi, doradztwo finansowe, udostępnianie skrytek bankowych. Usługi te z jednej strony zwiększają zakres usług oferowanych przez banki, a z drugiej strony – przyciągają klientów i kapitał.</w:t>
      </w:r>
    </w:p>
    <w:tbl>
      <w:tblPr>
        <w:tblW w:w="799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990"/>
        <w:gridCol w:w="990"/>
        <w:gridCol w:w="990"/>
        <w:gridCol w:w="990"/>
        <w:gridCol w:w="990"/>
      </w:tblGrid>
      <w:tr w:rsidR="008C1574" w:rsidRPr="008C1574" w14:paraId="10BAADD1" w14:textId="77777777" w:rsidTr="008C1574">
        <w:trPr>
          <w:tblCellSpacing w:w="0" w:type="dxa"/>
          <w:jc w:val="center"/>
        </w:trPr>
        <w:tc>
          <w:tcPr>
            <w:tcW w:w="3195" w:type="dxa"/>
            <w:tcBorders>
              <w:top w:val="outset" w:sz="6" w:space="0" w:color="auto"/>
              <w:left w:val="outset" w:sz="6" w:space="0" w:color="auto"/>
              <w:bottom w:val="outset" w:sz="6" w:space="0" w:color="auto"/>
              <w:right w:val="outset" w:sz="6" w:space="0" w:color="auto"/>
            </w:tcBorders>
            <w:noWrap/>
            <w:vAlign w:val="center"/>
            <w:hideMark/>
          </w:tcPr>
          <w:p w14:paraId="05D54A41" w14:textId="77777777" w:rsidR="008C1574" w:rsidRPr="008C1574" w:rsidRDefault="008C1574" w:rsidP="008C1574">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8C1574">
              <w:rPr>
                <w:rFonts w:ascii="Times New Roman" w:eastAsia="Times New Roman" w:hAnsi="Times New Roman" w:cs="Times New Roman"/>
                <w:b/>
                <w:bCs/>
                <w:sz w:val="24"/>
                <w:szCs w:val="24"/>
                <w:lang w:eastAsia="pl-PL"/>
              </w:rPr>
              <w:t>Wyszczególnienie</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628E5915" w14:textId="77777777" w:rsidR="008C1574" w:rsidRPr="008C1574" w:rsidRDefault="008C1574" w:rsidP="008C1574">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8C1574">
              <w:rPr>
                <w:rFonts w:ascii="Times New Roman" w:eastAsia="Times New Roman" w:hAnsi="Times New Roman" w:cs="Times New Roman"/>
                <w:b/>
                <w:bCs/>
                <w:sz w:val="24"/>
                <w:szCs w:val="24"/>
                <w:lang w:eastAsia="pl-PL"/>
              </w:rPr>
              <w:t>2007</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09FC60AF" w14:textId="77777777" w:rsidR="008C1574" w:rsidRPr="008C1574" w:rsidRDefault="008C1574" w:rsidP="008C1574">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8C1574">
              <w:rPr>
                <w:rFonts w:ascii="Times New Roman" w:eastAsia="Times New Roman" w:hAnsi="Times New Roman" w:cs="Times New Roman"/>
                <w:b/>
                <w:bCs/>
                <w:sz w:val="24"/>
                <w:szCs w:val="24"/>
                <w:lang w:eastAsia="pl-PL"/>
              </w:rPr>
              <w:t>2008</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3215DC30" w14:textId="77777777" w:rsidR="008C1574" w:rsidRPr="008C1574" w:rsidRDefault="008C1574" w:rsidP="008C1574">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8C1574">
              <w:rPr>
                <w:rFonts w:ascii="Times New Roman" w:eastAsia="Times New Roman" w:hAnsi="Times New Roman" w:cs="Times New Roman"/>
                <w:b/>
                <w:bCs/>
                <w:sz w:val="24"/>
                <w:szCs w:val="24"/>
                <w:lang w:eastAsia="pl-PL"/>
              </w:rPr>
              <w:t>2009</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0BACE346" w14:textId="77777777" w:rsidR="008C1574" w:rsidRPr="008C1574" w:rsidRDefault="008C1574" w:rsidP="008C1574">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8C1574">
              <w:rPr>
                <w:rFonts w:ascii="Times New Roman" w:eastAsia="Times New Roman" w:hAnsi="Times New Roman" w:cs="Times New Roman"/>
                <w:b/>
                <w:bCs/>
                <w:sz w:val="24"/>
                <w:szCs w:val="24"/>
                <w:lang w:eastAsia="pl-PL"/>
              </w:rPr>
              <w:t>2010</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0297B300" w14:textId="77777777" w:rsidR="008C1574" w:rsidRPr="008C1574" w:rsidRDefault="008C1574" w:rsidP="008C1574">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sidRPr="008C1574">
              <w:rPr>
                <w:rFonts w:ascii="Times New Roman" w:eastAsia="Times New Roman" w:hAnsi="Times New Roman" w:cs="Times New Roman"/>
                <w:b/>
                <w:bCs/>
                <w:sz w:val="24"/>
                <w:szCs w:val="24"/>
                <w:lang w:eastAsia="pl-PL"/>
              </w:rPr>
              <w:t>2011</w:t>
            </w:r>
          </w:p>
        </w:tc>
      </w:tr>
      <w:tr w:rsidR="008C1574" w:rsidRPr="008C1574" w14:paraId="651633AF" w14:textId="77777777" w:rsidTr="008C1574">
        <w:trPr>
          <w:tblCellSpacing w:w="0" w:type="dxa"/>
          <w:jc w:val="center"/>
        </w:trPr>
        <w:tc>
          <w:tcPr>
            <w:tcW w:w="3195" w:type="dxa"/>
            <w:tcBorders>
              <w:top w:val="outset" w:sz="6" w:space="0" w:color="auto"/>
              <w:left w:val="outset" w:sz="6" w:space="0" w:color="auto"/>
              <w:bottom w:val="outset" w:sz="6" w:space="0" w:color="auto"/>
              <w:right w:val="outset" w:sz="6" w:space="0" w:color="auto"/>
            </w:tcBorders>
            <w:noWrap/>
            <w:vAlign w:val="center"/>
            <w:hideMark/>
          </w:tcPr>
          <w:p w14:paraId="64AAE1D9"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b/>
                <w:bCs/>
                <w:sz w:val="24"/>
                <w:szCs w:val="24"/>
                <w:lang w:eastAsia="pl-PL"/>
              </w:rPr>
              <w:t>Banki ogółem</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0AA73826"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645</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4C21B603"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649</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4450715F"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643</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5D1A3302"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646</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5123CA56"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642</w:t>
            </w:r>
          </w:p>
        </w:tc>
      </w:tr>
      <w:tr w:rsidR="008C1574" w:rsidRPr="008C1574" w14:paraId="01AEF6FC" w14:textId="77777777" w:rsidTr="008C1574">
        <w:trPr>
          <w:tblCellSpacing w:w="0" w:type="dxa"/>
          <w:jc w:val="center"/>
        </w:trPr>
        <w:tc>
          <w:tcPr>
            <w:tcW w:w="3195" w:type="dxa"/>
            <w:tcBorders>
              <w:top w:val="outset" w:sz="6" w:space="0" w:color="auto"/>
              <w:left w:val="outset" w:sz="6" w:space="0" w:color="auto"/>
              <w:bottom w:val="outset" w:sz="6" w:space="0" w:color="auto"/>
              <w:right w:val="outset" w:sz="6" w:space="0" w:color="auto"/>
            </w:tcBorders>
            <w:noWrap/>
            <w:vAlign w:val="center"/>
            <w:hideMark/>
          </w:tcPr>
          <w:p w14:paraId="1FC9B6BD"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b/>
                <w:bCs/>
                <w:sz w:val="24"/>
                <w:szCs w:val="24"/>
                <w:lang w:eastAsia="pl-PL"/>
              </w:rPr>
              <w:t>Banki komercyjne</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1874354C"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64</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3D2D66C6"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70</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11CC7C52"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67</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6CCA06B7"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70</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1D708BC6"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68</w:t>
            </w:r>
          </w:p>
        </w:tc>
      </w:tr>
      <w:tr w:rsidR="008C1574" w:rsidRPr="008C1574" w14:paraId="6EE258FE" w14:textId="77777777" w:rsidTr="008C1574">
        <w:trPr>
          <w:tblCellSpacing w:w="0" w:type="dxa"/>
          <w:jc w:val="center"/>
        </w:trPr>
        <w:tc>
          <w:tcPr>
            <w:tcW w:w="3195" w:type="dxa"/>
            <w:tcBorders>
              <w:top w:val="outset" w:sz="6" w:space="0" w:color="auto"/>
              <w:left w:val="outset" w:sz="6" w:space="0" w:color="auto"/>
              <w:bottom w:val="outset" w:sz="6" w:space="0" w:color="auto"/>
              <w:right w:val="outset" w:sz="6" w:space="0" w:color="auto"/>
            </w:tcBorders>
            <w:noWrap/>
            <w:vAlign w:val="center"/>
            <w:hideMark/>
          </w:tcPr>
          <w:p w14:paraId="3045E309"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b/>
                <w:bCs/>
                <w:sz w:val="24"/>
                <w:szCs w:val="24"/>
                <w:lang w:eastAsia="pl-PL"/>
              </w:rPr>
              <w:t>Banki spółdzielcze</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0423A0AD"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581</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65D7AD24"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579</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1E1A22EF"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576</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6BBAF108"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576</w:t>
            </w:r>
          </w:p>
        </w:tc>
        <w:tc>
          <w:tcPr>
            <w:tcW w:w="960" w:type="dxa"/>
            <w:tcBorders>
              <w:top w:val="outset" w:sz="6" w:space="0" w:color="auto"/>
              <w:left w:val="outset" w:sz="6" w:space="0" w:color="auto"/>
              <w:bottom w:val="outset" w:sz="6" w:space="0" w:color="auto"/>
              <w:right w:val="outset" w:sz="6" w:space="0" w:color="auto"/>
            </w:tcBorders>
            <w:noWrap/>
            <w:vAlign w:val="center"/>
            <w:hideMark/>
          </w:tcPr>
          <w:p w14:paraId="7DBDA14F"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574</w:t>
            </w:r>
          </w:p>
        </w:tc>
      </w:tr>
    </w:tbl>
    <w:p w14:paraId="7C7D0DDE"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Tabela 3.4. Liczba banków w Polsce (dane wg NBP) w latach 2007–2011.</w:t>
      </w:r>
    </w:p>
    <w:p w14:paraId="6489F8C1" w14:textId="77777777" w:rsidR="008C1574" w:rsidRPr="008C1574" w:rsidRDefault="008C1574" w:rsidP="008C1574">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8C1574">
        <w:rPr>
          <w:rFonts w:ascii="Times New Roman" w:eastAsia="Times New Roman" w:hAnsi="Times New Roman" w:cs="Times New Roman"/>
          <w:b/>
          <w:bCs/>
          <w:sz w:val="27"/>
          <w:szCs w:val="27"/>
          <w:lang w:eastAsia="pl-PL"/>
        </w:rPr>
        <w:t>Rodzaje banków</w:t>
      </w:r>
    </w:p>
    <w:p w14:paraId="1C18EEBD"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Ze względu na charakter prowadzonej działalności w Polsce wyróżnia się banki:</w:t>
      </w:r>
    </w:p>
    <w:p w14:paraId="038B8E59" w14:textId="77777777" w:rsidR="008C1574" w:rsidRPr="008C1574" w:rsidRDefault="008C1574" w:rsidP="008C157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inwestycyjne,</w:t>
      </w:r>
    </w:p>
    <w:p w14:paraId="1BE09CF7" w14:textId="77777777" w:rsidR="008C1574" w:rsidRPr="008C1574" w:rsidRDefault="008C1574" w:rsidP="008C157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lastRenderedPageBreak/>
        <w:t>specjalne,</w:t>
      </w:r>
    </w:p>
    <w:p w14:paraId="12F25ECA" w14:textId="77777777" w:rsidR="008C1574" w:rsidRPr="008C1574" w:rsidRDefault="008C1574" w:rsidP="008C157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spółdzielcze,</w:t>
      </w:r>
    </w:p>
    <w:p w14:paraId="772B218E" w14:textId="77777777" w:rsidR="008C1574" w:rsidRPr="008C1574" w:rsidRDefault="008C1574" w:rsidP="008C157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uniwersalne [odwołanie do 3.2].</w:t>
      </w:r>
    </w:p>
    <w:p w14:paraId="4CB32AF0"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b/>
          <w:bCs/>
          <w:sz w:val="24"/>
          <w:szCs w:val="24"/>
          <w:lang w:eastAsia="pl-PL"/>
        </w:rPr>
        <w:t>Banki</w:t>
      </w:r>
      <w:r w:rsidRPr="008C1574">
        <w:rPr>
          <w:rFonts w:ascii="Times New Roman" w:eastAsia="Times New Roman" w:hAnsi="Times New Roman" w:cs="Times New Roman"/>
          <w:sz w:val="24"/>
          <w:szCs w:val="24"/>
          <w:lang w:eastAsia="pl-PL"/>
        </w:rPr>
        <w:t xml:space="preserve"> </w:t>
      </w:r>
      <w:r w:rsidRPr="008C1574">
        <w:rPr>
          <w:rFonts w:ascii="Times New Roman" w:eastAsia="Times New Roman" w:hAnsi="Times New Roman" w:cs="Times New Roman"/>
          <w:b/>
          <w:bCs/>
          <w:sz w:val="24"/>
          <w:szCs w:val="24"/>
          <w:lang w:eastAsia="pl-PL"/>
        </w:rPr>
        <w:t>inwestycyjne</w:t>
      </w:r>
      <w:r w:rsidRPr="008C1574">
        <w:rPr>
          <w:rFonts w:ascii="Times New Roman" w:eastAsia="Times New Roman" w:hAnsi="Times New Roman" w:cs="Times New Roman"/>
          <w:sz w:val="24"/>
          <w:szCs w:val="24"/>
          <w:lang w:eastAsia="pl-PL"/>
        </w:rPr>
        <w:t xml:space="preserve"> działają głównie w sektorze obsługi przedsiębiorstw. Oferowane przez nie usługi charakteryzują się długoterminowością oraz zaangażowaniem dużego kapitału. Ponadto banki tego typu zapewniają usługi związane z zarządzaniem i doradztwem finansowym. Niejednokrotnie występują one także w roli inwestora lub </w:t>
      </w:r>
      <w:proofErr w:type="spellStart"/>
      <w:r w:rsidRPr="008C1574">
        <w:rPr>
          <w:rFonts w:ascii="Times New Roman" w:eastAsia="Times New Roman" w:hAnsi="Times New Roman" w:cs="Times New Roman"/>
          <w:sz w:val="24"/>
          <w:szCs w:val="24"/>
          <w:lang w:eastAsia="pl-PL"/>
        </w:rPr>
        <w:t>restrukturyzatora</w:t>
      </w:r>
      <w:proofErr w:type="spellEnd"/>
      <w:r w:rsidRPr="008C1574">
        <w:rPr>
          <w:rFonts w:ascii="Times New Roman" w:eastAsia="Times New Roman" w:hAnsi="Times New Roman" w:cs="Times New Roman"/>
          <w:sz w:val="24"/>
          <w:szCs w:val="24"/>
          <w:lang w:eastAsia="pl-PL"/>
        </w:rPr>
        <w:t xml:space="preserve"> przedsiębiorstw. Innym typem ich aktywności jest działalność maklerska i dealerska na rynku akcji, papierów dłużnych i instrumentów pochodnych (emisje, obsługa emisji, dystrybucja papierów wartościowych, organizowanie konsorcjów emisyjnych [Konsorcjum jest powoływane przez ministra finansów w celu emisji obligacji skarbowych na rynkach zagranicznych.]. Banki inwestycyjne zarządzają również funduszami, zwłaszcza emerytalnymi, inwestycyjnymi i majątkami fundacji. Współcześnie granice między bankami komercyjnymi a bankami inwestycyjnymi zacierają się. Ma to swoje przyczyny w dużej dochodowości bankowości inwestycyjnej i coraz większej aktywności banków komercyjnych. Spowodowało to silny nacisk na złagodzenie barier ustawodawczych w usługach bankowych. Ponadto same banki inwestycyjne przy wielkich operacjach stawały się kredytodawcami, a nie tylko organizowały finansowanie.</w:t>
      </w:r>
    </w:p>
    <w:p w14:paraId="108317D3"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 xml:space="preserve">Innym typem instytucji bankowych są </w:t>
      </w:r>
      <w:r w:rsidRPr="008C1574">
        <w:rPr>
          <w:rFonts w:ascii="Times New Roman" w:eastAsia="Times New Roman" w:hAnsi="Times New Roman" w:cs="Times New Roman"/>
          <w:b/>
          <w:bCs/>
          <w:sz w:val="24"/>
          <w:szCs w:val="24"/>
          <w:lang w:eastAsia="pl-PL"/>
        </w:rPr>
        <w:t>banki</w:t>
      </w:r>
      <w:r w:rsidRPr="008C1574">
        <w:rPr>
          <w:rFonts w:ascii="Times New Roman" w:eastAsia="Times New Roman" w:hAnsi="Times New Roman" w:cs="Times New Roman"/>
          <w:sz w:val="24"/>
          <w:szCs w:val="24"/>
          <w:lang w:eastAsia="pl-PL"/>
        </w:rPr>
        <w:t xml:space="preserve"> </w:t>
      </w:r>
      <w:r w:rsidRPr="008C1574">
        <w:rPr>
          <w:rFonts w:ascii="Times New Roman" w:eastAsia="Times New Roman" w:hAnsi="Times New Roman" w:cs="Times New Roman"/>
          <w:b/>
          <w:bCs/>
          <w:sz w:val="24"/>
          <w:szCs w:val="24"/>
          <w:lang w:eastAsia="pl-PL"/>
        </w:rPr>
        <w:t>specjalne</w:t>
      </w:r>
      <w:r w:rsidRPr="008C1574">
        <w:rPr>
          <w:rFonts w:ascii="Times New Roman" w:eastAsia="Times New Roman" w:hAnsi="Times New Roman" w:cs="Times New Roman"/>
          <w:sz w:val="24"/>
          <w:szCs w:val="24"/>
          <w:lang w:eastAsia="pl-PL"/>
        </w:rPr>
        <w:t xml:space="preserve">. Charakteryzują się one ofertą skierowaną do wąskiej grupy klientów. Mogą to być: banki hipotetyczne, banki obsługujące giełdy papierów wartościowych, banki przemysłowe, banki rolne czy banki regionalne. Przykładowo </w:t>
      </w:r>
      <w:r w:rsidRPr="008C1574">
        <w:rPr>
          <w:rFonts w:ascii="Times New Roman" w:eastAsia="Times New Roman" w:hAnsi="Times New Roman" w:cs="Times New Roman"/>
          <w:b/>
          <w:bCs/>
          <w:sz w:val="24"/>
          <w:szCs w:val="24"/>
          <w:lang w:eastAsia="pl-PL"/>
        </w:rPr>
        <w:t xml:space="preserve">bank hipoteczny </w:t>
      </w:r>
      <w:r w:rsidRPr="008C1574">
        <w:rPr>
          <w:rFonts w:ascii="Times New Roman" w:eastAsia="Times New Roman" w:hAnsi="Times New Roman" w:cs="Times New Roman"/>
          <w:sz w:val="24"/>
          <w:szCs w:val="24"/>
          <w:lang w:eastAsia="pl-PL"/>
        </w:rPr>
        <w:t>[Hipoteka jest to rodzaj zabezpieczenia kredytu zapisem na rzecz kredytodawcy własności nieruchomości w księdze wieczystej.] specjalizuje się w udzielaniu kredytów na cele budownictwa mieszkaniowego i gospodarczego. Banki hipoteczne dostarczają kredytów długoterminowych, opartych przede wszystkim na stałym oprocentowaniu. Mają też możliwość znacznego wydłużenia okresu kredytowania w stosunku do kredytów oferowanych przez banki uniwersalne.</w:t>
      </w:r>
    </w:p>
    <w:p w14:paraId="1035BCF1"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b/>
          <w:bCs/>
          <w:sz w:val="24"/>
          <w:szCs w:val="24"/>
          <w:lang w:eastAsia="pl-PL"/>
        </w:rPr>
        <w:t>Banki spółdzielcze</w:t>
      </w:r>
      <w:r w:rsidRPr="008C1574">
        <w:rPr>
          <w:rFonts w:ascii="Times New Roman" w:eastAsia="Times New Roman" w:hAnsi="Times New Roman" w:cs="Times New Roman"/>
          <w:sz w:val="24"/>
          <w:szCs w:val="24"/>
          <w:lang w:eastAsia="pl-PL"/>
        </w:rPr>
        <w:t xml:space="preserve"> ze względu na zakres usług można traktować jako banki uniwersalne. Działają one w formie spółdzielni głównie na terenach wiejskich. W Polsce w 2001 r. rozpoczął się proces łączenia banków regionalnych i zrzeszających, w wyniku którego powstały 3 główne banki zrzeszające: Bank Polskiej Spółdzielczości SA w Warszawie, Gospodarczy Bank Wielkopolski SA w Poznaniu i Mazowiecki Bank Regionalny SA w Warszawie.</w:t>
      </w:r>
    </w:p>
    <w:p w14:paraId="789E215F" w14:textId="77777777" w:rsidR="008C1574" w:rsidRPr="008C1574" w:rsidRDefault="008C1574" w:rsidP="008C1574">
      <w:pPr>
        <w:spacing w:before="100" w:beforeAutospacing="1" w:after="100" w:afterAutospacing="1" w:line="240" w:lineRule="auto"/>
        <w:rPr>
          <w:rFonts w:ascii="Times New Roman" w:eastAsia="Times New Roman" w:hAnsi="Times New Roman" w:cs="Times New Roman"/>
          <w:sz w:val="24"/>
          <w:szCs w:val="24"/>
          <w:lang w:eastAsia="pl-PL"/>
        </w:rPr>
      </w:pPr>
      <w:r w:rsidRPr="008C1574">
        <w:rPr>
          <w:rFonts w:ascii="Times New Roman" w:eastAsia="Times New Roman" w:hAnsi="Times New Roman" w:cs="Times New Roman"/>
          <w:sz w:val="24"/>
          <w:szCs w:val="24"/>
          <w:lang w:eastAsia="pl-PL"/>
        </w:rPr>
        <w:t xml:space="preserve">Najczęściej jednak w Polsce spotykamy się z </w:t>
      </w:r>
      <w:r w:rsidRPr="008C1574">
        <w:rPr>
          <w:rFonts w:ascii="Times New Roman" w:eastAsia="Times New Roman" w:hAnsi="Times New Roman" w:cs="Times New Roman"/>
          <w:b/>
          <w:bCs/>
          <w:sz w:val="24"/>
          <w:szCs w:val="24"/>
          <w:lang w:eastAsia="pl-PL"/>
        </w:rPr>
        <w:t>bankami</w:t>
      </w:r>
      <w:r w:rsidRPr="008C1574">
        <w:rPr>
          <w:rFonts w:ascii="Times New Roman" w:eastAsia="Times New Roman" w:hAnsi="Times New Roman" w:cs="Times New Roman"/>
          <w:sz w:val="24"/>
          <w:szCs w:val="24"/>
          <w:lang w:eastAsia="pl-PL"/>
        </w:rPr>
        <w:t xml:space="preserve"> </w:t>
      </w:r>
      <w:r w:rsidRPr="008C1574">
        <w:rPr>
          <w:rFonts w:ascii="Times New Roman" w:eastAsia="Times New Roman" w:hAnsi="Times New Roman" w:cs="Times New Roman"/>
          <w:b/>
          <w:bCs/>
          <w:sz w:val="24"/>
          <w:szCs w:val="24"/>
          <w:lang w:eastAsia="pl-PL"/>
        </w:rPr>
        <w:t>uniwersalnymi</w:t>
      </w:r>
      <w:r w:rsidRPr="008C1574">
        <w:rPr>
          <w:rFonts w:ascii="Times New Roman" w:eastAsia="Times New Roman" w:hAnsi="Times New Roman" w:cs="Times New Roman"/>
          <w:sz w:val="24"/>
          <w:szCs w:val="24"/>
          <w:lang w:eastAsia="pl-PL"/>
        </w:rPr>
        <w:t>, świadczącymi wszelkie usługi bankowe klientowi masowemu.</w:t>
      </w:r>
    </w:p>
    <w:p w14:paraId="71D142C9" w14:textId="77777777" w:rsidR="008F1262" w:rsidRPr="008F1262" w:rsidRDefault="008F1262" w:rsidP="008F1262">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8F1262">
        <w:rPr>
          <w:rFonts w:ascii="Times New Roman" w:eastAsia="Times New Roman" w:hAnsi="Times New Roman" w:cs="Times New Roman"/>
          <w:b/>
          <w:bCs/>
          <w:sz w:val="27"/>
          <w:szCs w:val="27"/>
          <w:lang w:eastAsia="pl-PL"/>
        </w:rPr>
        <w:t>Usługi bankowe</w:t>
      </w:r>
    </w:p>
    <w:p w14:paraId="03FC0AC4" w14:textId="77777777" w:rsidR="008F1262" w:rsidRPr="008F1262" w:rsidRDefault="008F1262" w:rsidP="008F1262">
      <w:p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sz w:val="24"/>
          <w:szCs w:val="24"/>
          <w:lang w:eastAsia="pl-PL"/>
        </w:rPr>
        <w:t>Regulacje Unii Europejskiej zakładają, iż usługi bankowe to ściśle zdefiniowane rodzaje czynności (określone w ustawach) i aktywności instytucji bankowych. Przejawiają się one w działaniach (czynnościach, usługach), które są charakterystyczne dla rynku finansowego (rynek kapitałowy, walutowy, kredytowy i rynku pieniężny). Usługi bankowe występują najczęściej w postaci umowy pomiędzy bankiem a klientem, w związku z czym działalność banków jest w większości regulowana prawnie.</w:t>
      </w:r>
    </w:p>
    <w:p w14:paraId="7735AA7C" w14:textId="77777777" w:rsidR="008F1262" w:rsidRPr="008F1262" w:rsidRDefault="008F1262" w:rsidP="008F1262">
      <w:p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sz w:val="24"/>
          <w:szCs w:val="24"/>
          <w:lang w:eastAsia="pl-PL"/>
        </w:rPr>
        <w:lastRenderedPageBreak/>
        <w:t>Usługi bankowe ze względu na swój specyficzny charakter odznaczają się takimi cechami, jak:</w:t>
      </w:r>
    </w:p>
    <w:p w14:paraId="60DA5A78" w14:textId="77777777" w:rsidR="008F1262" w:rsidRPr="008F1262" w:rsidRDefault="008F1262" w:rsidP="008F1262">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b/>
          <w:bCs/>
          <w:sz w:val="24"/>
          <w:szCs w:val="24"/>
          <w:lang w:eastAsia="pl-PL"/>
        </w:rPr>
        <w:t>niematerialność</w:t>
      </w:r>
      <w:r w:rsidRPr="008F1262">
        <w:rPr>
          <w:rFonts w:ascii="Times New Roman" w:eastAsia="Times New Roman" w:hAnsi="Times New Roman" w:cs="Times New Roman"/>
          <w:sz w:val="24"/>
          <w:szCs w:val="24"/>
          <w:lang w:eastAsia="pl-PL"/>
        </w:rPr>
        <w:t xml:space="preserve"> – która wiąże się bezpośrednio z zaufaniem do banków (zazwyczaj nie widzimy pieniędzy, które mamy na swoim koncie, tylko wierzymy bankowi, że tam są);</w:t>
      </w:r>
    </w:p>
    <w:p w14:paraId="33CD9E83" w14:textId="77777777" w:rsidR="008F1262" w:rsidRPr="008F1262" w:rsidRDefault="008F1262" w:rsidP="008F1262">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b/>
          <w:bCs/>
          <w:sz w:val="24"/>
          <w:szCs w:val="24"/>
          <w:lang w:eastAsia="pl-PL"/>
        </w:rPr>
        <w:t>niejednorodność</w:t>
      </w:r>
      <w:r w:rsidRPr="008F1262">
        <w:rPr>
          <w:rFonts w:ascii="Times New Roman" w:eastAsia="Times New Roman" w:hAnsi="Times New Roman" w:cs="Times New Roman"/>
          <w:sz w:val="24"/>
          <w:szCs w:val="24"/>
          <w:lang w:eastAsia="pl-PL"/>
        </w:rPr>
        <w:t xml:space="preserve"> – która wiąże się z udziałem personelu banku w procesach sprzedaży oraz wynikającym z tego subiektywnym podejściem do procedur bankowych (dlatego w jednym banku mogą nam odmówić udzielenia kredytu, a w innym banku ten kredyt dostaniemy);</w:t>
      </w:r>
    </w:p>
    <w:p w14:paraId="7246D729" w14:textId="77777777" w:rsidR="008F1262" w:rsidRPr="008F1262" w:rsidRDefault="008F1262" w:rsidP="008F1262">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b/>
          <w:bCs/>
          <w:sz w:val="24"/>
          <w:szCs w:val="24"/>
          <w:lang w:eastAsia="pl-PL"/>
        </w:rPr>
        <w:t xml:space="preserve">rozciągłość </w:t>
      </w:r>
      <w:r w:rsidRPr="008F1262">
        <w:rPr>
          <w:rFonts w:ascii="Times New Roman" w:eastAsia="Times New Roman" w:hAnsi="Times New Roman" w:cs="Times New Roman"/>
          <w:sz w:val="24"/>
          <w:szCs w:val="24"/>
          <w:lang w:eastAsia="pl-PL"/>
        </w:rPr>
        <w:t>– oznaczająca rozciągnięcie konsumpcji usługi bankowej w czasie (z usług bankowych korzystamy nieraz nawet kilkadziesiąt lat, np. przy zaciągnięciu kredytu na zakup mieszkania).</w:t>
      </w:r>
    </w:p>
    <w:p w14:paraId="22B93C5A" w14:textId="77777777" w:rsidR="008F1262" w:rsidRPr="008F1262" w:rsidRDefault="008F1262" w:rsidP="008F1262">
      <w:p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sz w:val="24"/>
          <w:szCs w:val="24"/>
          <w:lang w:eastAsia="pl-PL"/>
        </w:rPr>
        <w:t>Po uwzględnieniu powyższych zmiennych uznaje się, że głównymi cechami usług bankowych są:</w:t>
      </w:r>
    </w:p>
    <w:p w14:paraId="374D174C" w14:textId="77777777" w:rsidR="008F1262" w:rsidRPr="008F1262" w:rsidRDefault="008F1262" w:rsidP="008F1262">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b/>
          <w:bCs/>
          <w:sz w:val="24"/>
          <w:szCs w:val="24"/>
          <w:lang w:eastAsia="pl-PL"/>
        </w:rPr>
        <w:t>zróżnicowanie</w:t>
      </w:r>
      <w:r w:rsidRPr="008F1262">
        <w:rPr>
          <w:rFonts w:ascii="Times New Roman" w:eastAsia="Times New Roman" w:hAnsi="Times New Roman" w:cs="Times New Roman"/>
          <w:sz w:val="24"/>
          <w:szCs w:val="24"/>
          <w:lang w:eastAsia="pl-PL"/>
        </w:rPr>
        <w:t>, co wiąże się głównie z różnym poziomem rozwoju banków (banki bardzo się różnią np. ofertą);</w:t>
      </w:r>
    </w:p>
    <w:p w14:paraId="238386D8" w14:textId="77777777" w:rsidR="008F1262" w:rsidRPr="008F1262" w:rsidRDefault="008F1262" w:rsidP="008F1262">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b/>
          <w:bCs/>
          <w:sz w:val="24"/>
          <w:szCs w:val="24"/>
          <w:lang w:eastAsia="pl-PL"/>
        </w:rPr>
        <w:t>występowanie specyficznych preferencji</w:t>
      </w:r>
      <w:r w:rsidRPr="008F1262">
        <w:rPr>
          <w:rFonts w:ascii="Times New Roman" w:eastAsia="Times New Roman" w:hAnsi="Times New Roman" w:cs="Times New Roman"/>
          <w:sz w:val="24"/>
          <w:szCs w:val="24"/>
          <w:lang w:eastAsia="pl-PL"/>
        </w:rPr>
        <w:t xml:space="preserve"> poszczególnych klientów bankowych (usługi są bardzo specjalistyczne, np. obsługa tylko dla rolników);</w:t>
      </w:r>
    </w:p>
    <w:p w14:paraId="07D8C3D8" w14:textId="77777777" w:rsidR="008F1262" w:rsidRPr="008F1262" w:rsidRDefault="008F1262" w:rsidP="008F1262">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sz w:val="24"/>
          <w:szCs w:val="24"/>
          <w:lang w:eastAsia="pl-PL"/>
        </w:rPr>
        <w:t xml:space="preserve">podejmowanie decyzji dotyczących usług bankowych według </w:t>
      </w:r>
      <w:r w:rsidRPr="008F1262">
        <w:rPr>
          <w:rFonts w:ascii="Times New Roman" w:eastAsia="Times New Roman" w:hAnsi="Times New Roman" w:cs="Times New Roman"/>
          <w:b/>
          <w:bCs/>
          <w:sz w:val="24"/>
          <w:szCs w:val="24"/>
          <w:lang w:eastAsia="pl-PL"/>
        </w:rPr>
        <w:t>regulowanego mechanizmu rynkowego</w:t>
      </w:r>
      <w:r w:rsidRPr="008F1262">
        <w:rPr>
          <w:rFonts w:ascii="Times New Roman" w:eastAsia="Times New Roman" w:hAnsi="Times New Roman" w:cs="Times New Roman"/>
          <w:sz w:val="24"/>
          <w:szCs w:val="24"/>
          <w:lang w:eastAsia="pl-PL"/>
        </w:rPr>
        <w:t xml:space="preserve"> (bank podlega </w:t>
      </w:r>
      <w:r w:rsidRPr="008F1262">
        <w:rPr>
          <w:rFonts w:ascii="Times New Roman" w:eastAsia="Times New Roman" w:hAnsi="Times New Roman" w:cs="Times New Roman"/>
          <w:i/>
          <w:iCs/>
          <w:sz w:val="24"/>
          <w:szCs w:val="24"/>
          <w:lang w:eastAsia="pl-PL"/>
        </w:rPr>
        <w:t>Prawu bankowemu</w:t>
      </w:r>
      <w:r w:rsidRPr="008F1262">
        <w:rPr>
          <w:rFonts w:ascii="Times New Roman" w:eastAsia="Times New Roman" w:hAnsi="Times New Roman" w:cs="Times New Roman"/>
          <w:sz w:val="24"/>
          <w:szCs w:val="24"/>
          <w:lang w:eastAsia="pl-PL"/>
        </w:rPr>
        <w:t xml:space="preserve"> i niektóre decyzje są podejmowane w sprzeczności z prawami podaży i popytu).</w:t>
      </w:r>
    </w:p>
    <w:p w14:paraId="21DDF1DD" w14:textId="77777777" w:rsidR="008F1262" w:rsidRPr="008F1262" w:rsidRDefault="008F1262" w:rsidP="008F1262">
      <w:p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sz w:val="24"/>
          <w:szCs w:val="24"/>
          <w:lang w:eastAsia="pl-PL"/>
        </w:rPr>
        <w:t>Banki oferują zatem bardzo zróżnicowany pakiet usług, zależny od oczekiwań klienta i specyfiki danego banku. Najogólniej można jednak podzielić wszystkie usługi bankowe na:</w:t>
      </w:r>
    </w:p>
    <w:p w14:paraId="5A946E32" w14:textId="77777777" w:rsidR="008F1262" w:rsidRPr="008F1262" w:rsidRDefault="008F1262" w:rsidP="008F1262">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b/>
          <w:bCs/>
          <w:sz w:val="24"/>
          <w:szCs w:val="24"/>
          <w:lang w:eastAsia="pl-PL"/>
        </w:rPr>
        <w:t>operacje finansujące</w:t>
      </w:r>
      <w:r w:rsidRPr="008F1262">
        <w:rPr>
          <w:rFonts w:ascii="Times New Roman" w:eastAsia="Times New Roman" w:hAnsi="Times New Roman" w:cs="Times New Roman"/>
          <w:sz w:val="24"/>
          <w:szCs w:val="24"/>
          <w:lang w:eastAsia="pl-PL"/>
        </w:rPr>
        <w:t>, związane ze zwiększeniem środków płatniczych klientów,</w:t>
      </w:r>
    </w:p>
    <w:p w14:paraId="0B5455E0" w14:textId="77777777" w:rsidR="008F1262" w:rsidRPr="008F1262" w:rsidRDefault="008F1262" w:rsidP="008F1262">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b/>
          <w:bCs/>
          <w:sz w:val="24"/>
          <w:szCs w:val="24"/>
          <w:lang w:eastAsia="pl-PL"/>
        </w:rPr>
        <w:t>operacje depozytowe</w:t>
      </w:r>
      <w:r w:rsidRPr="008F1262">
        <w:rPr>
          <w:rFonts w:ascii="Times New Roman" w:eastAsia="Times New Roman" w:hAnsi="Times New Roman" w:cs="Times New Roman"/>
          <w:sz w:val="24"/>
          <w:szCs w:val="24"/>
          <w:lang w:eastAsia="pl-PL"/>
        </w:rPr>
        <w:t>, umożliwiające klientom złożenie w bankach wolnych środków pieniężnych,</w:t>
      </w:r>
    </w:p>
    <w:p w14:paraId="3D6F2075" w14:textId="77777777" w:rsidR="008F1262" w:rsidRPr="008F1262" w:rsidRDefault="008F1262" w:rsidP="008F1262">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sz w:val="24"/>
          <w:szCs w:val="24"/>
          <w:lang w:eastAsia="pl-PL"/>
        </w:rPr>
        <w:t xml:space="preserve">usługi powiązane z </w:t>
      </w:r>
      <w:r w:rsidRPr="008F1262">
        <w:rPr>
          <w:rFonts w:ascii="Times New Roman" w:eastAsia="Times New Roman" w:hAnsi="Times New Roman" w:cs="Times New Roman"/>
          <w:b/>
          <w:bCs/>
          <w:sz w:val="24"/>
          <w:szCs w:val="24"/>
          <w:lang w:eastAsia="pl-PL"/>
        </w:rPr>
        <w:t>obsługą</w:t>
      </w:r>
      <w:r w:rsidRPr="008F1262">
        <w:rPr>
          <w:rFonts w:ascii="Times New Roman" w:eastAsia="Times New Roman" w:hAnsi="Times New Roman" w:cs="Times New Roman"/>
          <w:sz w:val="24"/>
          <w:szCs w:val="24"/>
          <w:lang w:eastAsia="pl-PL"/>
        </w:rPr>
        <w:t xml:space="preserve"> </w:t>
      </w:r>
      <w:r w:rsidRPr="008F1262">
        <w:rPr>
          <w:rFonts w:ascii="Times New Roman" w:eastAsia="Times New Roman" w:hAnsi="Times New Roman" w:cs="Times New Roman"/>
          <w:b/>
          <w:bCs/>
          <w:sz w:val="24"/>
          <w:szCs w:val="24"/>
          <w:lang w:eastAsia="pl-PL"/>
        </w:rPr>
        <w:t>transferów płatniczych</w:t>
      </w:r>
      <w:r w:rsidRPr="008F1262">
        <w:rPr>
          <w:rFonts w:ascii="Times New Roman" w:eastAsia="Times New Roman" w:hAnsi="Times New Roman" w:cs="Times New Roman"/>
          <w:sz w:val="24"/>
          <w:szCs w:val="24"/>
          <w:lang w:eastAsia="pl-PL"/>
        </w:rPr>
        <w:t>, realizowanie zleceń klientów, wykonywanie operacji płatniczych oraz rozrachunkowych na rachunkach bankowych,</w:t>
      </w:r>
    </w:p>
    <w:p w14:paraId="6B3CF72D" w14:textId="77777777" w:rsidR="008F1262" w:rsidRPr="008F1262" w:rsidRDefault="008F1262" w:rsidP="008F1262">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b/>
          <w:bCs/>
          <w:sz w:val="24"/>
          <w:szCs w:val="24"/>
          <w:lang w:eastAsia="pl-PL"/>
        </w:rPr>
        <w:t>usługi różne</w:t>
      </w:r>
      <w:r w:rsidRPr="008F1262">
        <w:rPr>
          <w:rFonts w:ascii="Times New Roman" w:eastAsia="Times New Roman" w:hAnsi="Times New Roman" w:cs="Times New Roman"/>
          <w:sz w:val="24"/>
          <w:szCs w:val="24"/>
          <w:lang w:eastAsia="pl-PL"/>
        </w:rPr>
        <w:t>, obejmujące wszelkie inne świadczenia dla klientów, np.: usługi doradcze i konsultacyjne, wynajem skrytek, pośredniczenie na rynkach kapitałowych, dostarczanie informacji.</w:t>
      </w:r>
    </w:p>
    <w:p w14:paraId="1CE36EEA" w14:textId="77777777" w:rsidR="008F1262" w:rsidRPr="008F1262" w:rsidRDefault="008F1262" w:rsidP="008F1262">
      <w:p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noProof/>
          <w:sz w:val="24"/>
          <w:szCs w:val="24"/>
          <w:lang w:eastAsia="pl-PL"/>
        </w:rPr>
        <w:lastRenderedPageBreak/>
        <w:drawing>
          <wp:inline distT="0" distB="0" distL="0" distR="0" wp14:anchorId="55F13AFE" wp14:editId="6805E8B7">
            <wp:extent cx="6094800" cy="3733200"/>
            <wp:effectExtent l="0" t="0" r="127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4800" cy="3733200"/>
                    </a:xfrm>
                    <a:prstGeom prst="rect">
                      <a:avLst/>
                    </a:prstGeom>
                    <a:noFill/>
                    <a:ln>
                      <a:noFill/>
                    </a:ln>
                  </pic:spPr>
                </pic:pic>
              </a:graphicData>
            </a:graphic>
          </wp:inline>
        </w:drawing>
      </w:r>
    </w:p>
    <w:p w14:paraId="5C22BA55" w14:textId="77777777" w:rsidR="008F1262" w:rsidRPr="008F1262" w:rsidRDefault="008F1262" w:rsidP="008F1262">
      <w:p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sz w:val="24"/>
          <w:szCs w:val="24"/>
          <w:lang w:eastAsia="pl-PL"/>
        </w:rPr>
        <w:t>Rycina 3.10. Wartość depozytów gospodarstw domowych w bankach (dane w mld zł) w latach 1997–2013 (dane NBP).</w:t>
      </w:r>
    </w:p>
    <w:p w14:paraId="3B5338FA" w14:textId="77777777" w:rsidR="008F1262" w:rsidRPr="008F1262" w:rsidRDefault="008F1262" w:rsidP="008F1262">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8F1262">
        <w:rPr>
          <w:rFonts w:ascii="Times New Roman" w:eastAsia="Times New Roman" w:hAnsi="Times New Roman" w:cs="Times New Roman"/>
          <w:b/>
          <w:bCs/>
          <w:sz w:val="27"/>
          <w:szCs w:val="27"/>
          <w:lang w:eastAsia="pl-PL"/>
        </w:rPr>
        <w:t>Lokaty bankowe</w:t>
      </w:r>
    </w:p>
    <w:p w14:paraId="02BDB075" w14:textId="77777777" w:rsidR="008F1262" w:rsidRPr="008F1262" w:rsidRDefault="008F1262" w:rsidP="008F1262">
      <w:p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sz w:val="24"/>
          <w:szCs w:val="24"/>
          <w:lang w:eastAsia="pl-PL"/>
        </w:rPr>
        <w:t xml:space="preserve">Podstawowe usługi oferowane przez banki to: prowadzenie </w:t>
      </w:r>
      <w:r w:rsidRPr="008F1262">
        <w:rPr>
          <w:rFonts w:ascii="Times New Roman" w:eastAsia="Times New Roman" w:hAnsi="Times New Roman" w:cs="Times New Roman"/>
          <w:b/>
          <w:bCs/>
          <w:sz w:val="24"/>
          <w:szCs w:val="24"/>
          <w:lang w:eastAsia="pl-PL"/>
        </w:rPr>
        <w:t>rachunków bieżących</w:t>
      </w:r>
      <w:r w:rsidRPr="008F1262">
        <w:rPr>
          <w:rFonts w:ascii="Times New Roman" w:eastAsia="Times New Roman" w:hAnsi="Times New Roman" w:cs="Times New Roman"/>
          <w:sz w:val="24"/>
          <w:szCs w:val="24"/>
          <w:lang w:eastAsia="pl-PL"/>
        </w:rPr>
        <w:t xml:space="preserve">, udzielanie </w:t>
      </w:r>
      <w:r w:rsidRPr="008F1262">
        <w:rPr>
          <w:rFonts w:ascii="Times New Roman" w:eastAsia="Times New Roman" w:hAnsi="Times New Roman" w:cs="Times New Roman"/>
          <w:b/>
          <w:bCs/>
          <w:sz w:val="24"/>
          <w:szCs w:val="24"/>
          <w:lang w:eastAsia="pl-PL"/>
        </w:rPr>
        <w:t xml:space="preserve">kredytów </w:t>
      </w:r>
      <w:r w:rsidRPr="008F1262">
        <w:rPr>
          <w:rFonts w:ascii="Times New Roman" w:eastAsia="Times New Roman" w:hAnsi="Times New Roman" w:cs="Times New Roman"/>
          <w:sz w:val="24"/>
          <w:szCs w:val="24"/>
          <w:lang w:eastAsia="pl-PL"/>
        </w:rPr>
        <w:t xml:space="preserve">złotówkowych i walutowych, udostępnianie bankowych </w:t>
      </w:r>
      <w:r w:rsidRPr="008F1262">
        <w:rPr>
          <w:rFonts w:ascii="Times New Roman" w:eastAsia="Times New Roman" w:hAnsi="Times New Roman" w:cs="Times New Roman"/>
          <w:b/>
          <w:bCs/>
          <w:sz w:val="24"/>
          <w:szCs w:val="24"/>
          <w:lang w:eastAsia="pl-PL"/>
        </w:rPr>
        <w:t>lokat</w:t>
      </w:r>
      <w:r w:rsidRPr="008F1262">
        <w:rPr>
          <w:rFonts w:ascii="Times New Roman" w:eastAsia="Times New Roman" w:hAnsi="Times New Roman" w:cs="Times New Roman"/>
          <w:sz w:val="24"/>
          <w:szCs w:val="24"/>
          <w:lang w:eastAsia="pl-PL"/>
        </w:rPr>
        <w:t xml:space="preserve"> </w:t>
      </w:r>
      <w:r w:rsidRPr="008F1262">
        <w:rPr>
          <w:rFonts w:ascii="Times New Roman" w:eastAsia="Times New Roman" w:hAnsi="Times New Roman" w:cs="Times New Roman"/>
          <w:b/>
          <w:bCs/>
          <w:sz w:val="24"/>
          <w:szCs w:val="24"/>
          <w:lang w:eastAsia="pl-PL"/>
        </w:rPr>
        <w:t>terminowych</w:t>
      </w:r>
      <w:r w:rsidRPr="008F1262">
        <w:rPr>
          <w:rFonts w:ascii="Times New Roman" w:eastAsia="Times New Roman" w:hAnsi="Times New Roman" w:cs="Times New Roman"/>
          <w:sz w:val="24"/>
          <w:szCs w:val="24"/>
          <w:lang w:eastAsia="pl-PL"/>
        </w:rPr>
        <w:t>.</w:t>
      </w:r>
    </w:p>
    <w:p w14:paraId="42271F9E" w14:textId="77777777" w:rsidR="008F1262" w:rsidRPr="008F1262" w:rsidRDefault="008F1262" w:rsidP="008F1262">
      <w:p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b/>
          <w:bCs/>
          <w:sz w:val="24"/>
          <w:szCs w:val="24"/>
          <w:lang w:eastAsia="pl-PL"/>
        </w:rPr>
        <w:t>Lokata bankowa</w:t>
      </w:r>
      <w:r w:rsidRPr="008F1262">
        <w:rPr>
          <w:rFonts w:ascii="Times New Roman" w:eastAsia="Times New Roman" w:hAnsi="Times New Roman" w:cs="Times New Roman"/>
          <w:sz w:val="24"/>
          <w:szCs w:val="24"/>
          <w:lang w:eastAsia="pl-PL"/>
        </w:rPr>
        <w:t xml:space="preserve"> jest jednym z głównych sposobów oszczędzania i inwestowania pieniędzy. Obok kont oszczędnościowych, lokata jest produktem bankowym, który przynosi największe zyski. Podstawowym czynnikiem wpływającym na zyskowność lokaty jest jej </w:t>
      </w:r>
      <w:r w:rsidRPr="008F1262">
        <w:rPr>
          <w:rFonts w:ascii="Times New Roman" w:eastAsia="Times New Roman" w:hAnsi="Times New Roman" w:cs="Times New Roman"/>
          <w:b/>
          <w:bCs/>
          <w:sz w:val="24"/>
          <w:szCs w:val="24"/>
          <w:lang w:eastAsia="pl-PL"/>
        </w:rPr>
        <w:t>oprocentowanie</w:t>
      </w:r>
      <w:r w:rsidRPr="008F1262">
        <w:rPr>
          <w:rFonts w:ascii="Times New Roman" w:eastAsia="Times New Roman" w:hAnsi="Times New Roman" w:cs="Times New Roman"/>
          <w:sz w:val="24"/>
          <w:szCs w:val="24"/>
          <w:lang w:eastAsia="pl-PL"/>
        </w:rPr>
        <w:t xml:space="preserve">. Może być ono stałe lub zmienne. </w:t>
      </w:r>
      <w:r w:rsidRPr="008F1262">
        <w:rPr>
          <w:rFonts w:ascii="Times New Roman" w:eastAsia="Times New Roman" w:hAnsi="Times New Roman" w:cs="Times New Roman"/>
          <w:b/>
          <w:bCs/>
          <w:sz w:val="24"/>
          <w:szCs w:val="24"/>
          <w:lang w:eastAsia="pl-PL"/>
        </w:rPr>
        <w:t>Oprocentowanie stałe</w:t>
      </w:r>
      <w:r w:rsidRPr="008F1262">
        <w:rPr>
          <w:rFonts w:ascii="Times New Roman" w:eastAsia="Times New Roman" w:hAnsi="Times New Roman" w:cs="Times New Roman"/>
          <w:sz w:val="24"/>
          <w:szCs w:val="24"/>
          <w:lang w:eastAsia="pl-PL"/>
        </w:rPr>
        <w:t xml:space="preserve"> nie ulega zmianom przez cały okres trwania lokaty, podczas gdy </w:t>
      </w:r>
      <w:r w:rsidRPr="008F1262">
        <w:rPr>
          <w:rFonts w:ascii="Times New Roman" w:eastAsia="Times New Roman" w:hAnsi="Times New Roman" w:cs="Times New Roman"/>
          <w:b/>
          <w:bCs/>
          <w:sz w:val="24"/>
          <w:szCs w:val="24"/>
          <w:lang w:eastAsia="pl-PL"/>
        </w:rPr>
        <w:t>oprocentowanie zmienne</w:t>
      </w:r>
      <w:r w:rsidRPr="008F1262">
        <w:rPr>
          <w:rFonts w:ascii="Times New Roman" w:eastAsia="Times New Roman" w:hAnsi="Times New Roman" w:cs="Times New Roman"/>
          <w:sz w:val="24"/>
          <w:szCs w:val="24"/>
          <w:lang w:eastAsia="pl-PL"/>
        </w:rPr>
        <w:t xml:space="preserve"> jest uwarunkowane sytuacją na rynku finansowym, a w głównej mierze zależy od stóp procentowych oraz ceny pieniądza na rynku międzybankowym. Inną cechą lokaty bankowej jest </w:t>
      </w:r>
      <w:r w:rsidRPr="008F1262">
        <w:rPr>
          <w:rFonts w:ascii="Times New Roman" w:eastAsia="Times New Roman" w:hAnsi="Times New Roman" w:cs="Times New Roman"/>
          <w:b/>
          <w:bCs/>
          <w:sz w:val="24"/>
          <w:szCs w:val="24"/>
          <w:lang w:eastAsia="pl-PL"/>
        </w:rPr>
        <w:t>termin zapadalności</w:t>
      </w:r>
      <w:r w:rsidRPr="008F1262">
        <w:rPr>
          <w:rFonts w:ascii="Times New Roman" w:eastAsia="Times New Roman" w:hAnsi="Times New Roman" w:cs="Times New Roman"/>
          <w:sz w:val="24"/>
          <w:szCs w:val="24"/>
          <w:lang w:eastAsia="pl-PL"/>
        </w:rPr>
        <w:t xml:space="preserve">, czyli okres, przez który będzie trwała umowa o lokatę (np. 3, 6 lub 12 miesięcy). Powinno się też przeanalizować konsekwencje, które się poniesie po </w:t>
      </w:r>
      <w:r w:rsidRPr="008F1262">
        <w:rPr>
          <w:rFonts w:ascii="Times New Roman" w:eastAsia="Times New Roman" w:hAnsi="Times New Roman" w:cs="Times New Roman"/>
          <w:b/>
          <w:bCs/>
          <w:sz w:val="24"/>
          <w:szCs w:val="24"/>
          <w:lang w:eastAsia="pl-PL"/>
        </w:rPr>
        <w:t>wcześniejszej wypłacie środków</w:t>
      </w:r>
      <w:r w:rsidRPr="008F1262">
        <w:rPr>
          <w:rFonts w:ascii="Times New Roman" w:eastAsia="Times New Roman" w:hAnsi="Times New Roman" w:cs="Times New Roman"/>
          <w:sz w:val="24"/>
          <w:szCs w:val="24"/>
          <w:lang w:eastAsia="pl-PL"/>
        </w:rPr>
        <w:t>. Oznacza to, że jeśli zerwie się wcześniej umowę, można stracić odsetki już naliczone.</w:t>
      </w:r>
    </w:p>
    <w:p w14:paraId="71F4C332" w14:textId="77777777" w:rsidR="008F1262" w:rsidRPr="008F1262" w:rsidRDefault="008F1262" w:rsidP="008F1262">
      <w:pPr>
        <w:spacing w:before="100" w:beforeAutospacing="1" w:after="100" w:afterAutospacing="1" w:line="240" w:lineRule="auto"/>
        <w:rPr>
          <w:rFonts w:ascii="Times New Roman" w:eastAsia="Times New Roman" w:hAnsi="Times New Roman" w:cs="Times New Roman"/>
          <w:sz w:val="24"/>
          <w:szCs w:val="24"/>
          <w:lang w:eastAsia="pl-PL"/>
        </w:rPr>
      </w:pPr>
      <w:r w:rsidRPr="008F1262">
        <w:rPr>
          <w:rFonts w:ascii="Times New Roman" w:eastAsia="Times New Roman" w:hAnsi="Times New Roman" w:cs="Times New Roman"/>
          <w:sz w:val="24"/>
          <w:szCs w:val="24"/>
          <w:lang w:eastAsia="pl-PL"/>
        </w:rPr>
        <w:t> </w:t>
      </w:r>
    </w:p>
    <w:p w14:paraId="37F873BC" w14:textId="77777777" w:rsidR="0055405F" w:rsidRDefault="0055405F"/>
    <w:sectPr w:rsidR="005540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432B7"/>
    <w:multiLevelType w:val="multilevel"/>
    <w:tmpl w:val="AD02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6756C"/>
    <w:multiLevelType w:val="multilevel"/>
    <w:tmpl w:val="1F34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AE371F"/>
    <w:multiLevelType w:val="multilevel"/>
    <w:tmpl w:val="C6E4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415D3B"/>
    <w:multiLevelType w:val="multilevel"/>
    <w:tmpl w:val="E15A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B50204"/>
    <w:multiLevelType w:val="multilevel"/>
    <w:tmpl w:val="EC12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F41F4C"/>
    <w:multiLevelType w:val="multilevel"/>
    <w:tmpl w:val="99C2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890E15"/>
    <w:multiLevelType w:val="multilevel"/>
    <w:tmpl w:val="D514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640F5F"/>
    <w:multiLevelType w:val="multilevel"/>
    <w:tmpl w:val="ABD8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287D9A"/>
    <w:multiLevelType w:val="multilevel"/>
    <w:tmpl w:val="969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4"/>
  </w:num>
  <w:num w:numId="4">
    <w:abstractNumId w:val="1"/>
  </w:num>
  <w:num w:numId="5">
    <w:abstractNumId w:val="8"/>
  </w:num>
  <w:num w:numId="6">
    <w:abstractNumId w:val="0"/>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F57"/>
    <w:rsid w:val="00042C84"/>
    <w:rsid w:val="00291E3A"/>
    <w:rsid w:val="003532DC"/>
    <w:rsid w:val="003C7EB8"/>
    <w:rsid w:val="0055405F"/>
    <w:rsid w:val="008C1574"/>
    <w:rsid w:val="008F1262"/>
    <w:rsid w:val="00BC0F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A94D5"/>
  <w15:chartTrackingRefBased/>
  <w15:docId w15:val="{B9CFAB45-C307-4133-AAB5-7FDE2A7E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53083">
      <w:bodyDiv w:val="1"/>
      <w:marLeft w:val="0"/>
      <w:marRight w:val="0"/>
      <w:marTop w:val="0"/>
      <w:marBottom w:val="0"/>
      <w:divBdr>
        <w:top w:val="none" w:sz="0" w:space="0" w:color="auto"/>
        <w:left w:val="none" w:sz="0" w:space="0" w:color="auto"/>
        <w:bottom w:val="none" w:sz="0" w:space="0" w:color="auto"/>
        <w:right w:val="none" w:sz="0" w:space="0" w:color="auto"/>
      </w:divBdr>
    </w:div>
    <w:div w:id="449857772">
      <w:bodyDiv w:val="1"/>
      <w:marLeft w:val="0"/>
      <w:marRight w:val="0"/>
      <w:marTop w:val="0"/>
      <w:marBottom w:val="0"/>
      <w:divBdr>
        <w:top w:val="none" w:sz="0" w:space="0" w:color="auto"/>
        <w:left w:val="none" w:sz="0" w:space="0" w:color="auto"/>
        <w:bottom w:val="none" w:sz="0" w:space="0" w:color="auto"/>
        <w:right w:val="none" w:sz="0" w:space="0" w:color="auto"/>
      </w:divBdr>
      <w:divsChild>
        <w:div w:id="1768230170">
          <w:marLeft w:val="0"/>
          <w:marRight w:val="0"/>
          <w:marTop w:val="0"/>
          <w:marBottom w:val="0"/>
          <w:divBdr>
            <w:top w:val="none" w:sz="0" w:space="0" w:color="auto"/>
            <w:left w:val="none" w:sz="0" w:space="0" w:color="auto"/>
            <w:bottom w:val="none" w:sz="0" w:space="0" w:color="auto"/>
            <w:right w:val="none" w:sz="0" w:space="0" w:color="auto"/>
          </w:divBdr>
        </w:div>
      </w:divsChild>
    </w:div>
    <w:div w:id="1350450408">
      <w:bodyDiv w:val="1"/>
      <w:marLeft w:val="0"/>
      <w:marRight w:val="0"/>
      <w:marTop w:val="0"/>
      <w:marBottom w:val="0"/>
      <w:divBdr>
        <w:top w:val="none" w:sz="0" w:space="0" w:color="auto"/>
        <w:left w:val="none" w:sz="0" w:space="0" w:color="auto"/>
        <w:bottom w:val="none" w:sz="0" w:space="0" w:color="auto"/>
        <w:right w:val="none" w:sz="0" w:space="0" w:color="auto"/>
      </w:divBdr>
    </w:div>
    <w:div w:id="1676611692">
      <w:bodyDiv w:val="1"/>
      <w:marLeft w:val="0"/>
      <w:marRight w:val="0"/>
      <w:marTop w:val="0"/>
      <w:marBottom w:val="0"/>
      <w:divBdr>
        <w:top w:val="none" w:sz="0" w:space="0" w:color="auto"/>
        <w:left w:val="none" w:sz="0" w:space="0" w:color="auto"/>
        <w:bottom w:val="none" w:sz="0" w:space="0" w:color="auto"/>
        <w:right w:val="none" w:sz="0" w:space="0" w:color="auto"/>
      </w:divBdr>
      <w:divsChild>
        <w:div w:id="741410766">
          <w:marLeft w:val="0"/>
          <w:marRight w:val="0"/>
          <w:marTop w:val="0"/>
          <w:marBottom w:val="0"/>
          <w:divBdr>
            <w:top w:val="none" w:sz="0" w:space="0" w:color="auto"/>
            <w:left w:val="none" w:sz="0" w:space="0" w:color="auto"/>
            <w:bottom w:val="none" w:sz="0" w:space="0" w:color="auto"/>
            <w:right w:val="none" w:sz="0" w:space="0" w:color="auto"/>
          </w:divBdr>
        </w:div>
      </w:divsChild>
    </w:div>
    <w:div w:id="2067753576">
      <w:bodyDiv w:val="1"/>
      <w:marLeft w:val="0"/>
      <w:marRight w:val="0"/>
      <w:marTop w:val="0"/>
      <w:marBottom w:val="0"/>
      <w:divBdr>
        <w:top w:val="none" w:sz="0" w:space="0" w:color="auto"/>
        <w:left w:val="none" w:sz="0" w:space="0" w:color="auto"/>
        <w:bottom w:val="none" w:sz="0" w:space="0" w:color="auto"/>
        <w:right w:val="none" w:sz="0" w:space="0" w:color="auto"/>
      </w:divBdr>
      <w:divsChild>
        <w:div w:id="235089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payu.pl/sites/edu/files/photo/Articles/payU_historia.jpg" TargetMode="External"/><Relationship Id="rId13" Type="http://schemas.openxmlformats.org/officeDocument/2006/relationships/hyperlink" Target="http://www.obop-arch.tnsglobal.pl/abin/r/7755/K.032-09_Euro_O04a09.pdf"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www.wilanow-palac.art.pl/historia_pieniadza_co_bylo_na_poczatku.html"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nbportal.pl/pl/np/numizmatyka/historia-monet.html" TargetMode="External"/><Relationship Id="rId5" Type="http://schemas.openxmlformats.org/officeDocument/2006/relationships/image" Target="media/image1.jpeg"/><Relationship Id="rId15" Type="http://schemas.openxmlformats.org/officeDocument/2006/relationships/hyperlink" Target="http://europa.eu/about-eu/basic-information/money/euro/index_pl.htm" TargetMode="Externa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nbp.pl/home.aspx?f=/BezpiecznePieniadze/main.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3469</Words>
  <Characters>20814</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MJecka</dc:creator>
  <cp:keywords/>
  <dc:description/>
  <cp:lastModifiedBy>Użytkownik systemu Windows</cp:lastModifiedBy>
  <cp:revision>2</cp:revision>
  <dcterms:created xsi:type="dcterms:W3CDTF">2020-05-18T08:17:00Z</dcterms:created>
  <dcterms:modified xsi:type="dcterms:W3CDTF">2020-05-18T08:17:00Z</dcterms:modified>
</cp:coreProperties>
</file>